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F24F0" w:rsidRPr="00C4219F" w:rsidRDefault="0070223F" w:rsidP="006057FA">
      <w:pPr>
        <w:autoSpaceDE w:val="0"/>
        <w:autoSpaceDN w:val="0"/>
        <w:adjustRightInd w:val="0"/>
        <w:spacing w:after="0" w:line="240" w:lineRule="auto"/>
        <w:jc w:val="center"/>
        <w:rPr>
          <w:rFonts w:ascii="Times New Roman" w:hAnsi="Times New Roman" w:cs="Times New Roman"/>
          <w:b/>
          <w:sz w:val="24"/>
          <w:szCs w:val="24"/>
        </w:rPr>
      </w:pPr>
      <w:r w:rsidRPr="00C4219F">
        <w:rPr>
          <w:rFonts w:ascii="Times New Roman" w:hAnsi="Times New Roman" w:cs="Times New Roman"/>
          <w:b/>
          <w:sz w:val="24"/>
          <w:szCs w:val="24"/>
        </w:rPr>
        <w:br/>
      </w:r>
      <w:r w:rsidR="00EF24F0" w:rsidRPr="00C4219F">
        <w:rPr>
          <w:rFonts w:ascii="Times New Roman" w:hAnsi="Times New Roman" w:cs="Times New Roman"/>
          <w:b/>
          <w:sz w:val="24"/>
          <w:szCs w:val="24"/>
        </w:rPr>
        <w:t xml:space="preserve">Greater Tompkins County Municipal </w:t>
      </w:r>
      <w:r w:rsidR="00833AB5">
        <w:rPr>
          <w:rFonts w:ascii="Times New Roman" w:hAnsi="Times New Roman" w:cs="Times New Roman"/>
          <w:b/>
          <w:sz w:val="24"/>
          <w:szCs w:val="24"/>
        </w:rPr>
        <w:t>Health Insurance Consortium 2015</w:t>
      </w:r>
      <w:r w:rsidR="00EF24F0" w:rsidRPr="00C4219F">
        <w:rPr>
          <w:rFonts w:ascii="Times New Roman" w:hAnsi="Times New Roman" w:cs="Times New Roman"/>
          <w:b/>
          <w:sz w:val="24"/>
          <w:szCs w:val="24"/>
        </w:rPr>
        <w:t xml:space="preserve"> Annual Report</w:t>
      </w:r>
    </w:p>
    <w:p w:rsidR="00EF24F0" w:rsidRPr="00C4219F" w:rsidRDefault="00EF24F0" w:rsidP="006057FA">
      <w:pPr>
        <w:autoSpaceDE w:val="0"/>
        <w:autoSpaceDN w:val="0"/>
        <w:adjustRightInd w:val="0"/>
        <w:spacing w:after="0" w:line="240" w:lineRule="auto"/>
        <w:jc w:val="right"/>
        <w:rPr>
          <w:rFonts w:ascii="Times New Roman" w:hAnsi="Times New Roman" w:cs="Times New Roman"/>
          <w:i/>
          <w:sz w:val="20"/>
          <w:szCs w:val="20"/>
        </w:rPr>
      </w:pPr>
      <w:r w:rsidRPr="00C4219F">
        <w:rPr>
          <w:rFonts w:ascii="Times New Roman" w:hAnsi="Times New Roman" w:cs="Times New Roman"/>
          <w:i/>
          <w:sz w:val="20"/>
          <w:szCs w:val="20"/>
        </w:rPr>
        <w:t>May 201</w:t>
      </w:r>
      <w:r w:rsidR="0025264E">
        <w:rPr>
          <w:rFonts w:ascii="Times New Roman" w:hAnsi="Times New Roman" w:cs="Times New Roman"/>
          <w:i/>
          <w:sz w:val="20"/>
          <w:szCs w:val="20"/>
        </w:rPr>
        <w:t>6</w:t>
      </w:r>
    </w:p>
    <w:p w:rsidR="00E66106" w:rsidRPr="00C4219F" w:rsidRDefault="00E66106" w:rsidP="006057FA">
      <w:pPr>
        <w:autoSpaceDE w:val="0"/>
        <w:autoSpaceDN w:val="0"/>
        <w:adjustRightInd w:val="0"/>
        <w:spacing w:after="0" w:line="240" w:lineRule="auto"/>
        <w:jc w:val="right"/>
        <w:rPr>
          <w:rFonts w:ascii="Times New Roman" w:hAnsi="Times New Roman" w:cs="Times New Roman"/>
          <w:sz w:val="24"/>
          <w:szCs w:val="24"/>
        </w:rPr>
      </w:pPr>
    </w:p>
    <w:p w:rsidR="007272B6" w:rsidRPr="00C4219F" w:rsidRDefault="00A14E97" w:rsidP="006057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During 2015, t</w:t>
      </w:r>
      <w:r w:rsidR="007272B6" w:rsidRPr="00C4219F">
        <w:rPr>
          <w:rFonts w:ascii="Times New Roman" w:hAnsi="Times New Roman" w:cs="Times New Roman"/>
        </w:rPr>
        <w:t xml:space="preserve">he Greater Tompkins County Municipal Health Insurance Consortium </w:t>
      </w:r>
      <w:r w:rsidR="00262423">
        <w:rPr>
          <w:rFonts w:ascii="Times New Roman" w:hAnsi="Times New Roman" w:cs="Times New Roman"/>
        </w:rPr>
        <w:t xml:space="preserve">(GTCMHIC) </w:t>
      </w:r>
      <w:r>
        <w:rPr>
          <w:rFonts w:ascii="Times New Roman" w:hAnsi="Times New Roman" w:cs="Times New Roman"/>
        </w:rPr>
        <w:t>a</w:t>
      </w:r>
      <w:r w:rsidR="00AE2C14">
        <w:rPr>
          <w:rFonts w:ascii="Times New Roman" w:hAnsi="Times New Roman" w:cs="Times New Roman"/>
        </w:rPr>
        <w:t xml:space="preserve">dopted its </w:t>
      </w:r>
      <w:r w:rsidR="008971D3">
        <w:rPr>
          <w:rFonts w:ascii="Times New Roman" w:hAnsi="Times New Roman" w:cs="Times New Roman"/>
        </w:rPr>
        <w:t xml:space="preserve">statement of </w:t>
      </w:r>
      <w:r w:rsidR="00AE2C14">
        <w:rPr>
          <w:rFonts w:ascii="Times New Roman" w:hAnsi="Times New Roman" w:cs="Times New Roman"/>
        </w:rPr>
        <w:t xml:space="preserve">mission </w:t>
      </w:r>
      <w:r w:rsidR="001A6E1E">
        <w:rPr>
          <w:rFonts w:ascii="Times New Roman" w:hAnsi="Times New Roman" w:cs="Times New Roman"/>
        </w:rPr>
        <w:t>“T</w:t>
      </w:r>
      <w:r w:rsidR="00AE2C14">
        <w:rPr>
          <w:rFonts w:ascii="Times New Roman" w:hAnsi="Times New Roman" w:cs="Times New Roman"/>
        </w:rPr>
        <w:t>o be</w:t>
      </w:r>
      <w:r w:rsidR="00AE2C14" w:rsidRPr="00AE2C14">
        <w:rPr>
          <w:rFonts w:ascii="Times New Roman" w:hAnsi="Times New Roman" w:cs="Times New Roman"/>
        </w:rPr>
        <w:t xml:space="preserve"> an efficient inter-municipal cooperative that provides high-quality, cost-stable health insurance for members and their employees and retirees</w:t>
      </w:r>
      <w:r w:rsidR="001A6E1E">
        <w:rPr>
          <w:rFonts w:ascii="Times New Roman" w:hAnsi="Times New Roman" w:cs="Times New Roman"/>
        </w:rPr>
        <w:t>”</w:t>
      </w:r>
      <w:r w:rsidR="00AE2C14" w:rsidRPr="00AE2C14">
        <w:rPr>
          <w:rFonts w:ascii="Times New Roman" w:hAnsi="Times New Roman" w:cs="Times New Roman"/>
        </w:rPr>
        <w:t>.</w:t>
      </w:r>
      <w:r w:rsidR="00AE2C14">
        <w:rPr>
          <w:rFonts w:ascii="Times New Roman" w:hAnsi="Times New Roman" w:cs="Times New Roman"/>
        </w:rPr>
        <w:t xml:space="preserve"> Also</w:t>
      </w:r>
      <w:r w:rsidR="00262423">
        <w:rPr>
          <w:rFonts w:ascii="Times New Roman" w:hAnsi="Times New Roman" w:cs="Times New Roman"/>
        </w:rPr>
        <w:t>,</w:t>
      </w:r>
      <w:r w:rsidR="007272B6" w:rsidRPr="00C4219F">
        <w:rPr>
          <w:rFonts w:ascii="Times New Roman" w:hAnsi="Times New Roman" w:cs="Times New Roman"/>
        </w:rPr>
        <w:t xml:space="preserve"> 201</w:t>
      </w:r>
      <w:r w:rsidR="00AE2C14">
        <w:rPr>
          <w:rFonts w:ascii="Times New Roman" w:hAnsi="Times New Roman" w:cs="Times New Roman"/>
        </w:rPr>
        <w:t>5</w:t>
      </w:r>
      <w:r w:rsidR="001A6E1E">
        <w:rPr>
          <w:rFonts w:ascii="Times New Roman" w:hAnsi="Times New Roman" w:cs="Times New Roman"/>
        </w:rPr>
        <w:t xml:space="preserve"> marked</w:t>
      </w:r>
      <w:r w:rsidR="007272B6" w:rsidRPr="00C4219F">
        <w:rPr>
          <w:rFonts w:ascii="Times New Roman" w:hAnsi="Times New Roman" w:cs="Times New Roman"/>
        </w:rPr>
        <w:t xml:space="preserve"> the completion of th</w:t>
      </w:r>
      <w:r w:rsidR="00AE2C14">
        <w:rPr>
          <w:rFonts w:ascii="Times New Roman" w:hAnsi="Times New Roman" w:cs="Times New Roman"/>
        </w:rPr>
        <w:t>e fif</w:t>
      </w:r>
      <w:r w:rsidR="009E49D8">
        <w:rPr>
          <w:rFonts w:ascii="Times New Roman" w:hAnsi="Times New Roman" w:cs="Times New Roman"/>
        </w:rPr>
        <w:t xml:space="preserve">th </w:t>
      </w:r>
      <w:r w:rsidR="009D3A59">
        <w:rPr>
          <w:rFonts w:ascii="Times New Roman" w:hAnsi="Times New Roman" w:cs="Times New Roman"/>
        </w:rPr>
        <w:t xml:space="preserve">and most financially </w:t>
      </w:r>
      <w:r w:rsidR="009E49D8" w:rsidRPr="00C4219F">
        <w:rPr>
          <w:rFonts w:ascii="Times New Roman" w:hAnsi="Times New Roman" w:cs="Times New Roman"/>
        </w:rPr>
        <w:t xml:space="preserve">successful </w:t>
      </w:r>
      <w:r w:rsidR="009D3A59">
        <w:rPr>
          <w:rFonts w:ascii="Times New Roman" w:hAnsi="Times New Roman" w:cs="Times New Roman"/>
        </w:rPr>
        <w:t>year of</w:t>
      </w:r>
      <w:r w:rsidR="007272B6" w:rsidRPr="00C4219F">
        <w:rPr>
          <w:rFonts w:ascii="Times New Roman" w:hAnsi="Times New Roman" w:cs="Times New Roman"/>
        </w:rPr>
        <w:t xml:space="preserve"> Greater Tompkins County Municipal Healt</w:t>
      </w:r>
      <w:r w:rsidR="009E49D8">
        <w:rPr>
          <w:rFonts w:ascii="Times New Roman" w:hAnsi="Times New Roman" w:cs="Times New Roman"/>
        </w:rPr>
        <w:t>h Insurance Consortium</w:t>
      </w:r>
      <w:r w:rsidR="007272B6" w:rsidRPr="00C4219F">
        <w:rPr>
          <w:rFonts w:ascii="Times New Roman" w:hAnsi="Times New Roman" w:cs="Times New Roman"/>
        </w:rPr>
        <w:t>.</w:t>
      </w:r>
    </w:p>
    <w:p w:rsidR="007272B6" w:rsidRPr="00C4219F" w:rsidRDefault="007272B6" w:rsidP="006057FA">
      <w:pPr>
        <w:spacing w:after="0" w:line="240" w:lineRule="auto"/>
        <w:jc w:val="both"/>
        <w:rPr>
          <w:rFonts w:ascii="Times New Roman" w:hAnsi="Times New Roman" w:cs="Times New Roman"/>
        </w:rPr>
      </w:pPr>
    </w:p>
    <w:p w:rsidR="00CC04DF" w:rsidRPr="00C4219F" w:rsidRDefault="00CC04DF" w:rsidP="006057FA">
      <w:pPr>
        <w:spacing w:after="0" w:line="240" w:lineRule="auto"/>
        <w:jc w:val="both"/>
        <w:rPr>
          <w:rFonts w:ascii="Times New Roman" w:hAnsi="Times New Roman" w:cs="Times New Roman"/>
        </w:rPr>
      </w:pPr>
      <w:r w:rsidRPr="00C4219F">
        <w:rPr>
          <w:rFonts w:ascii="Times New Roman" w:hAnsi="Times New Roman" w:cs="Times New Roman"/>
        </w:rPr>
        <w:t>GTCMHIC is an</w:t>
      </w:r>
      <w:r w:rsidR="007272B6" w:rsidRPr="00C4219F">
        <w:rPr>
          <w:rFonts w:ascii="Times New Roman" w:hAnsi="Times New Roman" w:cs="Times New Roman"/>
        </w:rPr>
        <w:t xml:space="preserve"> Article 47</w:t>
      </w:r>
      <w:r w:rsidRPr="00C4219F">
        <w:rPr>
          <w:rFonts w:ascii="Times New Roman" w:hAnsi="Times New Roman" w:cs="Times New Roman"/>
        </w:rPr>
        <w:t xml:space="preserve"> </w:t>
      </w:r>
      <w:r w:rsidR="004451F6">
        <w:rPr>
          <w:rFonts w:ascii="Times New Roman" w:hAnsi="Times New Roman" w:cs="Times New Roman"/>
        </w:rPr>
        <w:t>municipal cooperative health benefits plan</w:t>
      </w:r>
      <w:r w:rsidRPr="00501AE6">
        <w:rPr>
          <w:rFonts w:ascii="Times New Roman" w:hAnsi="Times New Roman" w:cs="Times New Roman"/>
        </w:rPr>
        <w:t xml:space="preserve"> that creates </w:t>
      </w:r>
      <w:r w:rsidR="004451F6">
        <w:rPr>
          <w:rFonts w:ascii="Times New Roman" w:hAnsi="Times New Roman" w:cs="Times New Roman"/>
        </w:rPr>
        <w:t xml:space="preserve">hospital, medical, surgical, and prescription drug </w:t>
      </w:r>
      <w:r w:rsidRPr="00501AE6">
        <w:rPr>
          <w:rFonts w:ascii="Times New Roman" w:hAnsi="Times New Roman" w:cs="Times New Roman"/>
        </w:rPr>
        <w:t>plans, collects premiums, and pays medical and pharmaceutical claims for its cover</w:t>
      </w:r>
      <w:r w:rsidR="00BF5A32" w:rsidRPr="00501AE6">
        <w:rPr>
          <w:rFonts w:ascii="Times New Roman" w:hAnsi="Times New Roman" w:cs="Times New Roman"/>
        </w:rPr>
        <w:t>ed</w:t>
      </w:r>
      <w:r w:rsidRPr="00C4219F">
        <w:rPr>
          <w:rFonts w:ascii="Times New Roman" w:hAnsi="Times New Roman" w:cs="Times New Roman"/>
        </w:rPr>
        <w:t xml:space="preserve"> members.</w:t>
      </w:r>
      <w:r w:rsidR="0090434D">
        <w:rPr>
          <w:rFonts w:ascii="Times New Roman" w:hAnsi="Times New Roman" w:cs="Times New Roman"/>
        </w:rPr>
        <w:t xml:space="preserve">  The Consortium began </w:t>
      </w:r>
      <w:r w:rsidR="004451F6">
        <w:rPr>
          <w:rFonts w:ascii="Times New Roman" w:hAnsi="Times New Roman" w:cs="Times New Roman"/>
        </w:rPr>
        <w:t xml:space="preserve">its operations </w:t>
      </w:r>
      <w:r w:rsidR="0090434D">
        <w:rPr>
          <w:rFonts w:ascii="Times New Roman" w:hAnsi="Times New Roman" w:cs="Times New Roman"/>
        </w:rPr>
        <w:t xml:space="preserve">in 2011 with thirteen municipal partners.  With the </w:t>
      </w:r>
      <w:r w:rsidR="00833AB5">
        <w:rPr>
          <w:rFonts w:ascii="Times New Roman" w:hAnsi="Times New Roman" w:cs="Times New Roman"/>
        </w:rPr>
        <w:t xml:space="preserve">2015 </w:t>
      </w:r>
      <w:r w:rsidR="0090434D">
        <w:rPr>
          <w:rFonts w:ascii="Times New Roman" w:hAnsi="Times New Roman" w:cs="Times New Roman"/>
        </w:rPr>
        <w:t xml:space="preserve">addition of the Cortland </w:t>
      </w:r>
      <w:r w:rsidR="00262423">
        <w:rPr>
          <w:rFonts w:ascii="Times New Roman" w:hAnsi="Times New Roman" w:cs="Times New Roman"/>
        </w:rPr>
        <w:t>T</w:t>
      </w:r>
      <w:r w:rsidR="0090434D">
        <w:rPr>
          <w:rFonts w:ascii="Times New Roman" w:hAnsi="Times New Roman" w:cs="Times New Roman"/>
        </w:rPr>
        <w:t xml:space="preserve">owns of Marathon, </w:t>
      </w:r>
      <w:proofErr w:type="spellStart"/>
      <w:r w:rsidR="0090434D">
        <w:rPr>
          <w:rFonts w:ascii="Times New Roman" w:hAnsi="Times New Roman" w:cs="Times New Roman"/>
        </w:rPr>
        <w:t>Truxton</w:t>
      </w:r>
      <w:proofErr w:type="spellEnd"/>
      <w:r w:rsidR="0090434D">
        <w:rPr>
          <w:rFonts w:ascii="Times New Roman" w:hAnsi="Times New Roman" w:cs="Times New Roman"/>
        </w:rPr>
        <w:t xml:space="preserve">, </w:t>
      </w:r>
      <w:r w:rsidR="008971D3">
        <w:rPr>
          <w:rFonts w:ascii="Times New Roman" w:hAnsi="Times New Roman" w:cs="Times New Roman"/>
        </w:rPr>
        <w:t xml:space="preserve">Willet, </w:t>
      </w:r>
      <w:r w:rsidR="0090434D">
        <w:rPr>
          <w:rFonts w:ascii="Times New Roman" w:hAnsi="Times New Roman" w:cs="Times New Roman"/>
        </w:rPr>
        <w:t>and Virgil the Consortium now has twenty municipal partners; cover</w:t>
      </w:r>
      <w:r w:rsidR="00833AB5">
        <w:rPr>
          <w:rFonts w:ascii="Times New Roman" w:hAnsi="Times New Roman" w:cs="Times New Roman"/>
        </w:rPr>
        <w:t>ing approximately 2</w:t>
      </w:r>
      <w:r w:rsidR="004451F6">
        <w:rPr>
          <w:rFonts w:ascii="Times New Roman" w:hAnsi="Times New Roman" w:cs="Times New Roman"/>
        </w:rPr>
        <w:t>,</w:t>
      </w:r>
      <w:r w:rsidR="00833AB5">
        <w:rPr>
          <w:rFonts w:ascii="Times New Roman" w:hAnsi="Times New Roman" w:cs="Times New Roman"/>
        </w:rPr>
        <w:t>300 employee and retiree contracts</w:t>
      </w:r>
      <w:r w:rsidR="0090434D">
        <w:rPr>
          <w:rFonts w:ascii="Times New Roman" w:hAnsi="Times New Roman" w:cs="Times New Roman"/>
        </w:rPr>
        <w:t xml:space="preserve"> and </w:t>
      </w:r>
      <w:r w:rsidR="004451F6">
        <w:rPr>
          <w:rFonts w:ascii="Times New Roman" w:hAnsi="Times New Roman" w:cs="Times New Roman"/>
        </w:rPr>
        <w:t xml:space="preserve">more than </w:t>
      </w:r>
      <w:r w:rsidR="0090434D">
        <w:rPr>
          <w:rFonts w:ascii="Times New Roman" w:hAnsi="Times New Roman" w:cs="Times New Roman"/>
        </w:rPr>
        <w:t>5</w:t>
      </w:r>
      <w:r w:rsidR="004451F6">
        <w:rPr>
          <w:rFonts w:ascii="Times New Roman" w:hAnsi="Times New Roman" w:cs="Times New Roman"/>
        </w:rPr>
        <w:t>,</w:t>
      </w:r>
      <w:r w:rsidR="0090434D">
        <w:rPr>
          <w:rFonts w:ascii="Times New Roman" w:hAnsi="Times New Roman" w:cs="Times New Roman"/>
        </w:rPr>
        <w:t>000 covered lives</w:t>
      </w:r>
      <w:r w:rsidR="00262423">
        <w:rPr>
          <w:rFonts w:ascii="Times New Roman" w:hAnsi="Times New Roman" w:cs="Times New Roman"/>
        </w:rPr>
        <w:t>.</w:t>
      </w:r>
    </w:p>
    <w:p w:rsidR="00CC04DF" w:rsidRPr="00C4219F" w:rsidRDefault="00CC04DF" w:rsidP="006057FA">
      <w:pPr>
        <w:spacing w:after="0" w:line="240" w:lineRule="auto"/>
        <w:rPr>
          <w:rFonts w:ascii="Times New Roman" w:hAnsi="Times New Roman" w:cs="Times New Roman"/>
        </w:rPr>
      </w:pPr>
    </w:p>
    <w:p w:rsidR="00CC04DF" w:rsidRPr="00B55734" w:rsidRDefault="00833AB5" w:rsidP="006057FA">
      <w:pPr>
        <w:spacing w:after="0" w:line="240" w:lineRule="auto"/>
        <w:jc w:val="both"/>
        <w:rPr>
          <w:rFonts w:ascii="Times New Roman" w:hAnsi="Times New Roman" w:cs="Times New Roman"/>
        </w:rPr>
      </w:pPr>
      <w:r>
        <w:rPr>
          <w:rFonts w:ascii="Times New Roman" w:hAnsi="Times New Roman" w:cs="Times New Roman"/>
        </w:rPr>
        <w:t>The Consortium is also responsible to establish adequate reserves to provide security for our members and municipal partners for the foreseeable future.  The Consor</w:t>
      </w:r>
      <w:r w:rsidR="008971D3">
        <w:rPr>
          <w:rFonts w:ascii="Times New Roman" w:hAnsi="Times New Roman" w:cs="Times New Roman"/>
        </w:rPr>
        <w:t>tium has statutory Surplus and I</w:t>
      </w:r>
      <w:r>
        <w:rPr>
          <w:rFonts w:ascii="Times New Roman" w:hAnsi="Times New Roman" w:cs="Times New Roman"/>
        </w:rPr>
        <w:t xml:space="preserve">ncurred </w:t>
      </w:r>
      <w:proofErr w:type="gramStart"/>
      <w:r>
        <w:rPr>
          <w:rFonts w:ascii="Times New Roman" w:hAnsi="Times New Roman" w:cs="Times New Roman"/>
        </w:rPr>
        <w:t>But</w:t>
      </w:r>
      <w:proofErr w:type="gramEnd"/>
      <w:r>
        <w:rPr>
          <w:rFonts w:ascii="Times New Roman" w:hAnsi="Times New Roman" w:cs="Times New Roman"/>
        </w:rPr>
        <w:t xml:space="preserve"> Not Reported </w:t>
      </w:r>
      <w:r w:rsidR="00262423">
        <w:rPr>
          <w:rFonts w:ascii="Times New Roman" w:hAnsi="Times New Roman" w:cs="Times New Roman"/>
        </w:rPr>
        <w:t>R</w:t>
      </w:r>
      <w:r>
        <w:rPr>
          <w:rFonts w:ascii="Times New Roman" w:hAnsi="Times New Roman" w:cs="Times New Roman"/>
        </w:rPr>
        <w:t>eserves of $1,</w:t>
      </w:r>
      <w:r w:rsidR="008608F6">
        <w:rPr>
          <w:rFonts w:ascii="Times New Roman" w:hAnsi="Times New Roman" w:cs="Times New Roman"/>
        </w:rPr>
        <w:t>879,368</w:t>
      </w:r>
      <w:r w:rsidR="008971D3">
        <w:rPr>
          <w:rFonts w:ascii="Times New Roman" w:hAnsi="Times New Roman" w:cs="Times New Roman"/>
        </w:rPr>
        <w:t xml:space="preserve"> </w:t>
      </w:r>
      <w:r>
        <w:rPr>
          <w:rFonts w:ascii="Times New Roman" w:hAnsi="Times New Roman" w:cs="Times New Roman"/>
        </w:rPr>
        <w:t>and $3,</w:t>
      </w:r>
      <w:r w:rsidR="008608F6">
        <w:rPr>
          <w:rFonts w:ascii="Times New Roman" w:hAnsi="Times New Roman" w:cs="Times New Roman"/>
        </w:rPr>
        <w:t>631,889</w:t>
      </w:r>
      <w:r>
        <w:rPr>
          <w:rFonts w:ascii="Times New Roman" w:hAnsi="Times New Roman" w:cs="Times New Roman"/>
        </w:rPr>
        <w:t xml:space="preserve"> respectively.  The Consortium also has </w:t>
      </w:r>
      <w:r w:rsidR="00B55734" w:rsidRPr="00B55734">
        <w:rPr>
          <w:rFonts w:ascii="Times New Roman" w:hAnsi="Times New Roman" w:cs="Times New Roman"/>
        </w:rPr>
        <w:t>elective Catastrophic Claims</w:t>
      </w:r>
      <w:r w:rsidR="008971D3">
        <w:rPr>
          <w:rFonts w:ascii="Times New Roman" w:hAnsi="Times New Roman" w:cs="Times New Roman"/>
        </w:rPr>
        <w:t xml:space="preserve"> ($1.05M)</w:t>
      </w:r>
      <w:r w:rsidR="00262423">
        <w:rPr>
          <w:rFonts w:ascii="Times New Roman" w:hAnsi="Times New Roman" w:cs="Times New Roman"/>
        </w:rPr>
        <w:t xml:space="preserve"> and</w:t>
      </w:r>
      <w:r w:rsidR="00B55734" w:rsidRPr="00B55734">
        <w:rPr>
          <w:rFonts w:ascii="Times New Roman" w:hAnsi="Times New Roman" w:cs="Times New Roman"/>
        </w:rPr>
        <w:t xml:space="preserve"> Rate Stabilization</w:t>
      </w:r>
      <w:r w:rsidR="00C066F9">
        <w:rPr>
          <w:rFonts w:ascii="Times New Roman" w:hAnsi="Times New Roman" w:cs="Times New Roman"/>
        </w:rPr>
        <w:t xml:space="preserve"> ($1.5</w:t>
      </w:r>
      <w:r w:rsidR="008971D3">
        <w:rPr>
          <w:rFonts w:ascii="Times New Roman" w:hAnsi="Times New Roman" w:cs="Times New Roman"/>
        </w:rPr>
        <w:t>M)</w:t>
      </w:r>
      <w:r w:rsidR="00B55734" w:rsidRPr="00B55734">
        <w:rPr>
          <w:rFonts w:ascii="Times New Roman" w:hAnsi="Times New Roman" w:cs="Times New Roman"/>
        </w:rPr>
        <w:t xml:space="preserve"> Reserves.</w:t>
      </w:r>
    </w:p>
    <w:p w:rsidR="00BE408B" w:rsidRPr="00B55734" w:rsidRDefault="00BE408B" w:rsidP="006057FA">
      <w:pPr>
        <w:autoSpaceDE w:val="0"/>
        <w:autoSpaceDN w:val="0"/>
        <w:adjustRightInd w:val="0"/>
        <w:spacing w:after="0" w:line="240" w:lineRule="auto"/>
        <w:rPr>
          <w:rFonts w:ascii="Times New Roman" w:hAnsi="Times New Roman" w:cs="Times New Roman"/>
          <w:b/>
          <w:bCs/>
        </w:rPr>
      </w:pPr>
    </w:p>
    <w:p w:rsidR="00BE408B" w:rsidRPr="00C4219F" w:rsidRDefault="00BE408B" w:rsidP="006057FA">
      <w:pPr>
        <w:autoSpaceDE w:val="0"/>
        <w:autoSpaceDN w:val="0"/>
        <w:adjustRightInd w:val="0"/>
        <w:spacing w:after="0" w:line="240" w:lineRule="auto"/>
        <w:rPr>
          <w:rFonts w:ascii="Times New Roman" w:hAnsi="Times New Roman" w:cs="Times New Roman"/>
          <w:b/>
          <w:bCs/>
        </w:rPr>
      </w:pPr>
      <w:r w:rsidRPr="00C4219F">
        <w:rPr>
          <w:rFonts w:ascii="Times New Roman" w:hAnsi="Times New Roman" w:cs="Times New Roman"/>
          <w:b/>
          <w:bCs/>
        </w:rPr>
        <w:t>Operations Highlights:</w:t>
      </w:r>
    </w:p>
    <w:p w:rsidR="00CC04DF" w:rsidRPr="00C4219F" w:rsidRDefault="00CC04DF" w:rsidP="006057FA">
      <w:pPr>
        <w:spacing w:after="0" w:line="240" w:lineRule="auto"/>
        <w:rPr>
          <w:rFonts w:ascii="Times New Roman" w:hAnsi="Times New Roman" w:cs="Times New Roman"/>
        </w:rPr>
      </w:pPr>
    </w:p>
    <w:p w:rsidR="00AC1424" w:rsidRDefault="00B55734" w:rsidP="00AC1424">
      <w:pPr>
        <w:pStyle w:val="ListParagraph"/>
        <w:numPr>
          <w:ilvl w:val="0"/>
          <w:numId w:val="2"/>
        </w:numPr>
        <w:autoSpaceDE w:val="0"/>
        <w:autoSpaceDN w:val="0"/>
        <w:adjustRightInd w:val="0"/>
        <w:jc w:val="both"/>
        <w:rPr>
          <w:sz w:val="22"/>
          <w:szCs w:val="22"/>
        </w:rPr>
      </w:pPr>
      <w:r>
        <w:rPr>
          <w:sz w:val="22"/>
          <w:szCs w:val="22"/>
        </w:rPr>
        <w:t>In 2015</w:t>
      </w:r>
      <w:r w:rsidR="00BE408B" w:rsidRPr="00C4219F">
        <w:rPr>
          <w:sz w:val="22"/>
          <w:szCs w:val="22"/>
        </w:rPr>
        <w:t>, t</w:t>
      </w:r>
      <w:r w:rsidR="003054AE" w:rsidRPr="00C4219F">
        <w:rPr>
          <w:sz w:val="22"/>
          <w:szCs w:val="22"/>
        </w:rPr>
        <w:t>he C</w:t>
      </w:r>
      <w:r w:rsidR="009E49D8">
        <w:rPr>
          <w:sz w:val="22"/>
          <w:szCs w:val="22"/>
        </w:rPr>
        <w:t>onsortium receiv</w:t>
      </w:r>
      <w:r w:rsidR="008971D3">
        <w:rPr>
          <w:sz w:val="22"/>
          <w:szCs w:val="22"/>
        </w:rPr>
        <w:t>ed $37.6</w:t>
      </w:r>
      <w:r w:rsidR="00BE408B" w:rsidRPr="00C4219F">
        <w:rPr>
          <w:sz w:val="22"/>
          <w:szCs w:val="22"/>
        </w:rPr>
        <w:t xml:space="preserve"> million </w:t>
      </w:r>
      <w:r w:rsidR="00912412" w:rsidRPr="00C4219F">
        <w:rPr>
          <w:sz w:val="22"/>
          <w:szCs w:val="22"/>
        </w:rPr>
        <w:t>in</w:t>
      </w:r>
      <w:r w:rsidR="008608F6">
        <w:rPr>
          <w:sz w:val="22"/>
          <w:szCs w:val="22"/>
        </w:rPr>
        <w:t xml:space="preserve"> premiums with total expenses of $31.0 million</w:t>
      </w:r>
      <w:r w:rsidR="00BE408B" w:rsidRPr="00C4219F">
        <w:rPr>
          <w:sz w:val="22"/>
          <w:szCs w:val="22"/>
        </w:rPr>
        <w:t xml:space="preserve">.  </w:t>
      </w:r>
    </w:p>
    <w:p w:rsidR="0099671F" w:rsidRDefault="0099671F" w:rsidP="0099671F">
      <w:pPr>
        <w:pStyle w:val="ListParagraph"/>
        <w:autoSpaceDE w:val="0"/>
        <w:autoSpaceDN w:val="0"/>
        <w:adjustRightInd w:val="0"/>
        <w:jc w:val="both"/>
        <w:rPr>
          <w:sz w:val="22"/>
          <w:szCs w:val="22"/>
        </w:rPr>
      </w:pPr>
    </w:p>
    <w:p w:rsidR="007C687D" w:rsidRDefault="007C687D" w:rsidP="006057FA">
      <w:pPr>
        <w:pStyle w:val="ListParagraph"/>
        <w:numPr>
          <w:ilvl w:val="0"/>
          <w:numId w:val="2"/>
        </w:numPr>
        <w:autoSpaceDE w:val="0"/>
        <w:autoSpaceDN w:val="0"/>
        <w:adjustRightInd w:val="0"/>
        <w:jc w:val="both"/>
        <w:rPr>
          <w:sz w:val="22"/>
          <w:szCs w:val="22"/>
        </w:rPr>
      </w:pPr>
      <w:bookmarkStart w:id="0" w:name="_GoBack"/>
      <w:bookmarkEnd w:id="0"/>
      <w:r>
        <w:rPr>
          <w:sz w:val="22"/>
          <w:szCs w:val="22"/>
        </w:rPr>
        <w:t>The Board used some of that net income to offset area wide health cost inflation, of roughly 8%, in approving only a 3% premium rate increase for 2016.</w:t>
      </w:r>
    </w:p>
    <w:p w:rsidR="007C687D" w:rsidRPr="007C687D" w:rsidRDefault="007C687D" w:rsidP="007C687D">
      <w:pPr>
        <w:pStyle w:val="ListParagraph"/>
        <w:rPr>
          <w:sz w:val="22"/>
          <w:szCs w:val="22"/>
        </w:rPr>
      </w:pPr>
    </w:p>
    <w:p w:rsidR="00AC1424" w:rsidRPr="00C4219F" w:rsidRDefault="003054AE" w:rsidP="006057FA">
      <w:pPr>
        <w:pStyle w:val="ListParagraph"/>
        <w:numPr>
          <w:ilvl w:val="0"/>
          <w:numId w:val="2"/>
        </w:numPr>
        <w:autoSpaceDE w:val="0"/>
        <w:autoSpaceDN w:val="0"/>
        <w:adjustRightInd w:val="0"/>
        <w:jc w:val="both"/>
        <w:rPr>
          <w:sz w:val="22"/>
          <w:szCs w:val="22"/>
        </w:rPr>
      </w:pPr>
      <w:r w:rsidRPr="00C4219F">
        <w:rPr>
          <w:sz w:val="22"/>
          <w:szCs w:val="22"/>
        </w:rPr>
        <w:t xml:space="preserve">The Consortium </w:t>
      </w:r>
      <w:r w:rsidR="00BE408B" w:rsidRPr="00C4219F">
        <w:rPr>
          <w:sz w:val="22"/>
          <w:szCs w:val="22"/>
        </w:rPr>
        <w:t>continues to operate very efficiently with</w:t>
      </w:r>
      <w:r w:rsidRPr="00C4219F">
        <w:rPr>
          <w:sz w:val="22"/>
          <w:szCs w:val="22"/>
        </w:rPr>
        <w:t xml:space="preserve"> </w:t>
      </w:r>
      <w:r w:rsidR="00BE408B" w:rsidRPr="00C4219F">
        <w:rPr>
          <w:sz w:val="22"/>
          <w:szCs w:val="22"/>
        </w:rPr>
        <w:t xml:space="preserve">92% of its expenses going to pay claims. </w:t>
      </w:r>
    </w:p>
    <w:p w:rsidR="0099671F" w:rsidRDefault="0099671F" w:rsidP="0099671F">
      <w:pPr>
        <w:pStyle w:val="ListParagraph"/>
        <w:autoSpaceDE w:val="0"/>
        <w:autoSpaceDN w:val="0"/>
        <w:adjustRightInd w:val="0"/>
        <w:jc w:val="both"/>
        <w:rPr>
          <w:sz w:val="22"/>
          <w:szCs w:val="22"/>
        </w:rPr>
      </w:pPr>
    </w:p>
    <w:p w:rsidR="00AC1424" w:rsidRPr="00C4219F" w:rsidRDefault="00BE408B" w:rsidP="006057FA">
      <w:pPr>
        <w:pStyle w:val="ListParagraph"/>
        <w:numPr>
          <w:ilvl w:val="0"/>
          <w:numId w:val="2"/>
        </w:numPr>
        <w:autoSpaceDE w:val="0"/>
        <w:autoSpaceDN w:val="0"/>
        <w:adjustRightInd w:val="0"/>
        <w:jc w:val="both"/>
        <w:rPr>
          <w:sz w:val="22"/>
          <w:szCs w:val="22"/>
        </w:rPr>
      </w:pPr>
      <w:r w:rsidRPr="00C4219F">
        <w:rPr>
          <w:sz w:val="22"/>
          <w:szCs w:val="22"/>
        </w:rPr>
        <w:t xml:space="preserve">The </w:t>
      </w:r>
      <w:r w:rsidR="00C42EA3">
        <w:rPr>
          <w:sz w:val="22"/>
          <w:szCs w:val="22"/>
        </w:rPr>
        <w:t>four Cortland County towns</w:t>
      </w:r>
      <w:r w:rsidRPr="00C4219F">
        <w:rPr>
          <w:sz w:val="22"/>
          <w:szCs w:val="22"/>
        </w:rPr>
        <w:t xml:space="preserve"> jo</w:t>
      </w:r>
      <w:r w:rsidR="00CA6D1D">
        <w:rPr>
          <w:sz w:val="22"/>
          <w:szCs w:val="22"/>
        </w:rPr>
        <w:t>ined the Consortium in</w:t>
      </w:r>
      <w:r w:rsidR="00C42EA3">
        <w:rPr>
          <w:sz w:val="22"/>
          <w:szCs w:val="22"/>
        </w:rPr>
        <w:t xml:space="preserve"> 2015</w:t>
      </w:r>
      <w:r w:rsidR="00937C77" w:rsidRPr="00C4219F">
        <w:rPr>
          <w:sz w:val="22"/>
          <w:szCs w:val="22"/>
        </w:rPr>
        <w:t>.</w:t>
      </w:r>
    </w:p>
    <w:p w:rsidR="0099671F" w:rsidRDefault="0099671F" w:rsidP="0099671F">
      <w:pPr>
        <w:pStyle w:val="ListParagraph"/>
        <w:autoSpaceDE w:val="0"/>
        <w:autoSpaceDN w:val="0"/>
        <w:adjustRightInd w:val="0"/>
        <w:jc w:val="both"/>
        <w:rPr>
          <w:sz w:val="22"/>
          <w:szCs w:val="22"/>
        </w:rPr>
      </w:pPr>
    </w:p>
    <w:p w:rsidR="00AC1424" w:rsidRPr="00C4219F" w:rsidRDefault="00C42EA3" w:rsidP="006057FA">
      <w:pPr>
        <w:pStyle w:val="ListParagraph"/>
        <w:numPr>
          <w:ilvl w:val="0"/>
          <w:numId w:val="2"/>
        </w:numPr>
        <w:autoSpaceDE w:val="0"/>
        <w:autoSpaceDN w:val="0"/>
        <w:adjustRightInd w:val="0"/>
        <w:jc w:val="both"/>
        <w:rPr>
          <w:sz w:val="22"/>
          <w:szCs w:val="22"/>
        </w:rPr>
      </w:pPr>
      <w:r>
        <w:rPr>
          <w:sz w:val="22"/>
          <w:szCs w:val="22"/>
        </w:rPr>
        <w:t>Three</w:t>
      </w:r>
      <w:r w:rsidR="0027386C" w:rsidRPr="00C4219F">
        <w:rPr>
          <w:sz w:val="22"/>
          <w:szCs w:val="22"/>
        </w:rPr>
        <w:t xml:space="preserve"> benefit plans were added </w:t>
      </w:r>
      <w:r w:rsidR="00DE52F5" w:rsidRPr="00C4219F">
        <w:rPr>
          <w:sz w:val="22"/>
          <w:szCs w:val="22"/>
        </w:rPr>
        <w:t xml:space="preserve">-- </w:t>
      </w:r>
      <w:r w:rsidR="0027386C" w:rsidRPr="00C4219F">
        <w:rPr>
          <w:sz w:val="22"/>
          <w:szCs w:val="22"/>
        </w:rPr>
        <w:t xml:space="preserve">the </w:t>
      </w:r>
      <w:r>
        <w:rPr>
          <w:sz w:val="22"/>
          <w:szCs w:val="22"/>
        </w:rPr>
        <w:t>Gold, Silver, and Bronze</w:t>
      </w:r>
      <w:r w:rsidR="0027386C" w:rsidRPr="00C4219F">
        <w:rPr>
          <w:sz w:val="22"/>
          <w:szCs w:val="22"/>
        </w:rPr>
        <w:t xml:space="preserve"> Plan</w:t>
      </w:r>
      <w:r w:rsidR="00512BFD">
        <w:rPr>
          <w:sz w:val="22"/>
          <w:szCs w:val="22"/>
        </w:rPr>
        <w:t>s</w:t>
      </w:r>
      <w:r>
        <w:rPr>
          <w:sz w:val="22"/>
          <w:szCs w:val="22"/>
        </w:rPr>
        <w:t xml:space="preserve"> were added</w:t>
      </w:r>
      <w:r w:rsidR="0027386C" w:rsidRPr="00C4219F">
        <w:rPr>
          <w:sz w:val="22"/>
          <w:szCs w:val="22"/>
        </w:rPr>
        <w:t xml:space="preserve"> to the Consortium</w:t>
      </w:r>
      <w:r w:rsidR="00512BFD">
        <w:rPr>
          <w:sz w:val="22"/>
          <w:szCs w:val="22"/>
        </w:rPr>
        <w:t>’s</w:t>
      </w:r>
      <w:r w:rsidR="0027386C" w:rsidRPr="00C4219F">
        <w:rPr>
          <w:sz w:val="22"/>
          <w:szCs w:val="22"/>
        </w:rPr>
        <w:t xml:space="preserve"> offerings.</w:t>
      </w:r>
    </w:p>
    <w:p w:rsidR="0099671F" w:rsidRDefault="0099671F" w:rsidP="0099671F">
      <w:pPr>
        <w:pStyle w:val="ListParagraph"/>
        <w:autoSpaceDE w:val="0"/>
        <w:autoSpaceDN w:val="0"/>
        <w:adjustRightInd w:val="0"/>
        <w:jc w:val="both"/>
        <w:rPr>
          <w:sz w:val="22"/>
          <w:szCs w:val="22"/>
        </w:rPr>
      </w:pPr>
    </w:p>
    <w:p w:rsidR="00AC1424" w:rsidRPr="00C4219F" w:rsidRDefault="00C42EA3" w:rsidP="006057FA">
      <w:pPr>
        <w:pStyle w:val="ListParagraph"/>
        <w:numPr>
          <w:ilvl w:val="0"/>
          <w:numId w:val="2"/>
        </w:numPr>
        <w:autoSpaceDE w:val="0"/>
        <w:autoSpaceDN w:val="0"/>
        <w:adjustRightInd w:val="0"/>
        <w:jc w:val="both"/>
        <w:rPr>
          <w:sz w:val="22"/>
          <w:szCs w:val="22"/>
        </w:rPr>
      </w:pPr>
      <w:r>
        <w:rPr>
          <w:sz w:val="22"/>
          <w:szCs w:val="22"/>
        </w:rPr>
        <w:t>For the second year</w:t>
      </w:r>
      <w:r w:rsidR="0027386C" w:rsidRPr="00C4219F">
        <w:rPr>
          <w:sz w:val="22"/>
          <w:szCs w:val="22"/>
        </w:rPr>
        <w:t>, the Consortium offered</w:t>
      </w:r>
      <w:r w:rsidR="003054AE" w:rsidRPr="00C4219F">
        <w:rPr>
          <w:sz w:val="22"/>
          <w:szCs w:val="22"/>
        </w:rPr>
        <w:t xml:space="preserve"> flu clinics</w:t>
      </w:r>
      <w:r w:rsidR="00CA6D1D">
        <w:rPr>
          <w:sz w:val="22"/>
          <w:szCs w:val="22"/>
        </w:rPr>
        <w:t>.  In 2015,</w:t>
      </w:r>
      <w:r w:rsidR="003054AE" w:rsidRPr="00C4219F">
        <w:rPr>
          <w:sz w:val="22"/>
          <w:szCs w:val="22"/>
        </w:rPr>
        <w:t xml:space="preserve"> </w:t>
      </w:r>
      <w:r w:rsidR="00CA6D1D">
        <w:rPr>
          <w:sz w:val="22"/>
          <w:szCs w:val="22"/>
        </w:rPr>
        <w:t>they</w:t>
      </w:r>
      <w:r>
        <w:rPr>
          <w:sz w:val="22"/>
          <w:szCs w:val="22"/>
        </w:rPr>
        <w:t xml:space="preserve"> were conducted in six</w:t>
      </w:r>
      <w:r w:rsidR="0027386C" w:rsidRPr="00C4219F">
        <w:rPr>
          <w:sz w:val="22"/>
          <w:szCs w:val="22"/>
        </w:rPr>
        <w:t xml:space="preserve"> locations</w:t>
      </w:r>
      <w:r>
        <w:rPr>
          <w:sz w:val="22"/>
          <w:szCs w:val="22"/>
        </w:rPr>
        <w:t xml:space="preserve"> to 243 members.  Additionally</w:t>
      </w:r>
      <w:r w:rsidR="00512BFD">
        <w:rPr>
          <w:sz w:val="22"/>
          <w:szCs w:val="22"/>
        </w:rPr>
        <w:t>,</w:t>
      </w:r>
      <w:r>
        <w:rPr>
          <w:sz w:val="22"/>
          <w:szCs w:val="22"/>
        </w:rPr>
        <w:t xml:space="preserve"> 259 member</w:t>
      </w:r>
      <w:r w:rsidR="00512BFD">
        <w:rPr>
          <w:sz w:val="22"/>
          <w:szCs w:val="22"/>
        </w:rPr>
        <w:t>s</w:t>
      </w:r>
      <w:r>
        <w:rPr>
          <w:sz w:val="22"/>
          <w:szCs w:val="22"/>
        </w:rPr>
        <w:t xml:space="preserve"> received flu vaccines at their pharmacy (a </w:t>
      </w:r>
      <w:proofErr w:type="gramStart"/>
      <w:r>
        <w:rPr>
          <w:sz w:val="22"/>
          <w:szCs w:val="22"/>
        </w:rPr>
        <w:t>new</w:t>
      </w:r>
      <w:proofErr w:type="gramEnd"/>
      <w:r>
        <w:rPr>
          <w:sz w:val="22"/>
          <w:szCs w:val="22"/>
        </w:rPr>
        <w:t xml:space="preserve"> option made available in 2015)</w:t>
      </w:r>
      <w:r w:rsidR="0027386C" w:rsidRPr="00C4219F">
        <w:rPr>
          <w:sz w:val="22"/>
          <w:szCs w:val="22"/>
        </w:rPr>
        <w:t xml:space="preserve">. </w:t>
      </w:r>
    </w:p>
    <w:p w:rsidR="0099671F" w:rsidRDefault="0099671F" w:rsidP="0099671F">
      <w:pPr>
        <w:pStyle w:val="ListParagraph"/>
        <w:autoSpaceDE w:val="0"/>
        <w:autoSpaceDN w:val="0"/>
        <w:adjustRightInd w:val="0"/>
        <w:jc w:val="both"/>
        <w:rPr>
          <w:sz w:val="22"/>
          <w:szCs w:val="22"/>
        </w:rPr>
      </w:pPr>
    </w:p>
    <w:p w:rsidR="00AC1424" w:rsidRPr="00C4219F" w:rsidRDefault="003054AE" w:rsidP="006057FA">
      <w:pPr>
        <w:pStyle w:val="ListParagraph"/>
        <w:numPr>
          <w:ilvl w:val="0"/>
          <w:numId w:val="2"/>
        </w:numPr>
        <w:autoSpaceDE w:val="0"/>
        <w:autoSpaceDN w:val="0"/>
        <w:adjustRightInd w:val="0"/>
        <w:jc w:val="both"/>
        <w:rPr>
          <w:sz w:val="22"/>
          <w:szCs w:val="22"/>
        </w:rPr>
      </w:pPr>
      <w:r w:rsidRPr="00C4219F">
        <w:rPr>
          <w:sz w:val="22"/>
          <w:szCs w:val="22"/>
        </w:rPr>
        <w:t xml:space="preserve">The </w:t>
      </w:r>
      <w:r w:rsidR="00C42EA3">
        <w:rPr>
          <w:sz w:val="22"/>
          <w:szCs w:val="22"/>
        </w:rPr>
        <w:t>Consortium participants nearly completed certifying dep</w:t>
      </w:r>
      <w:r w:rsidR="0059747D">
        <w:rPr>
          <w:sz w:val="22"/>
          <w:szCs w:val="22"/>
        </w:rPr>
        <w:t>endents as eligible.  To date t</w:t>
      </w:r>
      <w:r w:rsidR="00C42EA3">
        <w:rPr>
          <w:sz w:val="22"/>
          <w:szCs w:val="22"/>
        </w:rPr>
        <w:t>he process is netting an annual savings of approximately $280,000</w:t>
      </w:r>
      <w:r w:rsidR="00AC1424" w:rsidRPr="00C4219F">
        <w:rPr>
          <w:sz w:val="22"/>
          <w:szCs w:val="22"/>
        </w:rPr>
        <w:t>.</w:t>
      </w:r>
    </w:p>
    <w:p w:rsidR="0099671F" w:rsidRDefault="0099671F" w:rsidP="0099671F">
      <w:pPr>
        <w:pStyle w:val="ListParagraph"/>
        <w:autoSpaceDE w:val="0"/>
        <w:autoSpaceDN w:val="0"/>
        <w:adjustRightInd w:val="0"/>
        <w:jc w:val="both"/>
        <w:rPr>
          <w:sz w:val="22"/>
          <w:szCs w:val="22"/>
        </w:rPr>
      </w:pPr>
    </w:p>
    <w:p w:rsidR="00AC1424" w:rsidRPr="00C4219F" w:rsidRDefault="00AC1424" w:rsidP="006057FA">
      <w:pPr>
        <w:pStyle w:val="ListParagraph"/>
        <w:numPr>
          <w:ilvl w:val="0"/>
          <w:numId w:val="2"/>
        </w:numPr>
        <w:autoSpaceDE w:val="0"/>
        <w:autoSpaceDN w:val="0"/>
        <w:adjustRightInd w:val="0"/>
        <w:jc w:val="both"/>
        <w:rPr>
          <w:sz w:val="22"/>
          <w:szCs w:val="22"/>
        </w:rPr>
      </w:pPr>
      <w:r w:rsidRPr="00C4219F">
        <w:rPr>
          <w:sz w:val="22"/>
          <w:szCs w:val="22"/>
        </w:rPr>
        <w:t>The Consortium</w:t>
      </w:r>
      <w:r w:rsidR="0027386C" w:rsidRPr="00C4219F">
        <w:rPr>
          <w:sz w:val="22"/>
          <w:szCs w:val="22"/>
        </w:rPr>
        <w:t xml:space="preserve"> </w:t>
      </w:r>
      <w:r w:rsidR="0059747D">
        <w:rPr>
          <w:sz w:val="22"/>
          <w:szCs w:val="22"/>
        </w:rPr>
        <w:t>adopted the Excellus Blue4U wellness program for benefit plans with a wellness component.</w:t>
      </w:r>
    </w:p>
    <w:p w:rsidR="0099671F" w:rsidRDefault="0099671F" w:rsidP="0099671F">
      <w:pPr>
        <w:pStyle w:val="ListParagraph"/>
        <w:autoSpaceDE w:val="0"/>
        <w:autoSpaceDN w:val="0"/>
        <w:adjustRightInd w:val="0"/>
        <w:jc w:val="both"/>
        <w:rPr>
          <w:sz w:val="22"/>
          <w:szCs w:val="22"/>
        </w:rPr>
      </w:pPr>
    </w:p>
    <w:p w:rsidR="0059747D" w:rsidRDefault="00AC1424" w:rsidP="006057FA">
      <w:pPr>
        <w:pStyle w:val="ListParagraph"/>
        <w:numPr>
          <w:ilvl w:val="0"/>
          <w:numId w:val="2"/>
        </w:numPr>
        <w:autoSpaceDE w:val="0"/>
        <w:autoSpaceDN w:val="0"/>
        <w:adjustRightInd w:val="0"/>
        <w:jc w:val="both"/>
        <w:rPr>
          <w:sz w:val="22"/>
          <w:szCs w:val="22"/>
        </w:rPr>
      </w:pPr>
      <w:r w:rsidRPr="00C4219F">
        <w:rPr>
          <w:sz w:val="22"/>
          <w:szCs w:val="22"/>
        </w:rPr>
        <w:t>A</w:t>
      </w:r>
      <w:r w:rsidR="009E49D8">
        <w:rPr>
          <w:sz w:val="22"/>
          <w:szCs w:val="22"/>
        </w:rPr>
        <w:t xml:space="preserve"> Consortium </w:t>
      </w:r>
      <w:r w:rsidR="0027386C" w:rsidRPr="00C4219F">
        <w:rPr>
          <w:sz w:val="22"/>
          <w:szCs w:val="22"/>
        </w:rPr>
        <w:t>wide</w:t>
      </w:r>
      <w:r w:rsidR="003054AE" w:rsidRPr="00C4219F">
        <w:rPr>
          <w:sz w:val="22"/>
          <w:szCs w:val="22"/>
        </w:rPr>
        <w:t xml:space="preserve"> educational retreat</w:t>
      </w:r>
      <w:r w:rsidR="0027386C" w:rsidRPr="00C4219F">
        <w:rPr>
          <w:sz w:val="22"/>
          <w:szCs w:val="22"/>
        </w:rPr>
        <w:t xml:space="preserve"> on </w:t>
      </w:r>
      <w:r w:rsidR="0059747D">
        <w:rPr>
          <w:sz w:val="22"/>
          <w:szCs w:val="22"/>
        </w:rPr>
        <w:t>Building a Benefit Plan was conducted on June 12, 2015</w:t>
      </w:r>
      <w:r w:rsidR="00CA6D1D">
        <w:rPr>
          <w:sz w:val="22"/>
          <w:szCs w:val="22"/>
        </w:rPr>
        <w:t>. It is available on the website.</w:t>
      </w:r>
    </w:p>
    <w:p w:rsidR="0099671F" w:rsidRDefault="0099671F" w:rsidP="0099671F">
      <w:pPr>
        <w:pStyle w:val="ListParagraph"/>
        <w:autoSpaceDE w:val="0"/>
        <w:autoSpaceDN w:val="0"/>
        <w:adjustRightInd w:val="0"/>
        <w:jc w:val="both"/>
        <w:rPr>
          <w:sz w:val="22"/>
          <w:szCs w:val="22"/>
        </w:rPr>
      </w:pPr>
    </w:p>
    <w:p w:rsidR="0059747D" w:rsidRDefault="0059747D" w:rsidP="006057FA">
      <w:pPr>
        <w:pStyle w:val="ListParagraph"/>
        <w:numPr>
          <w:ilvl w:val="0"/>
          <w:numId w:val="2"/>
        </w:numPr>
        <w:autoSpaceDE w:val="0"/>
        <w:autoSpaceDN w:val="0"/>
        <w:adjustRightInd w:val="0"/>
        <w:jc w:val="both"/>
        <w:rPr>
          <w:sz w:val="22"/>
          <w:szCs w:val="22"/>
        </w:rPr>
      </w:pPr>
      <w:r>
        <w:rPr>
          <w:sz w:val="22"/>
          <w:szCs w:val="22"/>
        </w:rPr>
        <w:lastRenderedPageBreak/>
        <w:t xml:space="preserve">The Consortium </w:t>
      </w:r>
      <w:r w:rsidR="001A6E1E">
        <w:rPr>
          <w:sz w:val="22"/>
          <w:szCs w:val="22"/>
        </w:rPr>
        <w:t>partners reviewed, amended, and then adopted</w:t>
      </w:r>
      <w:r>
        <w:rPr>
          <w:sz w:val="22"/>
          <w:szCs w:val="22"/>
        </w:rPr>
        <w:t xml:space="preserve"> the</w:t>
      </w:r>
      <w:r w:rsidR="00CA6D1D">
        <w:rPr>
          <w:sz w:val="22"/>
          <w:szCs w:val="22"/>
        </w:rPr>
        <w:t xml:space="preserve"> amended</w:t>
      </w:r>
      <w:r>
        <w:rPr>
          <w:sz w:val="22"/>
          <w:szCs w:val="22"/>
        </w:rPr>
        <w:t xml:space="preserve"> Municipal Cooperative Agreement.</w:t>
      </w:r>
    </w:p>
    <w:p w:rsidR="003054AE" w:rsidRPr="00C4219F" w:rsidRDefault="001A6E1E" w:rsidP="006057FA">
      <w:pPr>
        <w:pStyle w:val="ListParagraph"/>
        <w:numPr>
          <w:ilvl w:val="0"/>
          <w:numId w:val="2"/>
        </w:numPr>
        <w:autoSpaceDE w:val="0"/>
        <w:autoSpaceDN w:val="0"/>
        <w:adjustRightInd w:val="0"/>
        <w:jc w:val="both"/>
        <w:rPr>
          <w:sz w:val="22"/>
          <w:szCs w:val="22"/>
        </w:rPr>
      </w:pPr>
      <w:r>
        <w:rPr>
          <w:sz w:val="22"/>
          <w:szCs w:val="22"/>
        </w:rPr>
        <w:t>The Consortium continued auditing third party</w:t>
      </w:r>
      <w:r w:rsidR="0059747D">
        <w:rPr>
          <w:sz w:val="22"/>
          <w:szCs w:val="22"/>
        </w:rPr>
        <w:t xml:space="preserve"> claim administration process</w:t>
      </w:r>
      <w:r>
        <w:rPr>
          <w:sz w:val="22"/>
          <w:szCs w:val="22"/>
        </w:rPr>
        <w:t xml:space="preserve">es to ensure their practice </w:t>
      </w:r>
      <w:r w:rsidR="0059747D">
        <w:rPr>
          <w:sz w:val="22"/>
          <w:szCs w:val="22"/>
        </w:rPr>
        <w:t>meets our benefit plan description</w:t>
      </w:r>
      <w:r w:rsidR="00AC1424" w:rsidRPr="00C4219F">
        <w:rPr>
          <w:sz w:val="22"/>
          <w:szCs w:val="22"/>
        </w:rPr>
        <w:t>.</w:t>
      </w:r>
    </w:p>
    <w:p w:rsidR="003054AE" w:rsidRPr="00C4219F" w:rsidRDefault="00E66106" w:rsidP="006057FA">
      <w:pPr>
        <w:autoSpaceDE w:val="0"/>
        <w:autoSpaceDN w:val="0"/>
        <w:adjustRightInd w:val="0"/>
        <w:spacing w:after="0" w:line="240" w:lineRule="auto"/>
        <w:rPr>
          <w:rFonts w:ascii="Times New Roman" w:hAnsi="Times New Roman" w:cs="Times New Roman"/>
          <w:b/>
        </w:rPr>
      </w:pPr>
      <w:r w:rsidRPr="00C4219F">
        <w:rPr>
          <w:rFonts w:ascii="Times New Roman" w:hAnsi="Times New Roman" w:cs="Times New Roman"/>
          <w:b/>
        </w:rPr>
        <w:br/>
      </w:r>
      <w:r w:rsidR="0027386C" w:rsidRPr="00C4219F">
        <w:rPr>
          <w:rFonts w:ascii="Times New Roman" w:hAnsi="Times New Roman" w:cs="Times New Roman"/>
          <w:b/>
        </w:rPr>
        <w:t>Committees:</w:t>
      </w:r>
    </w:p>
    <w:p w:rsidR="0027386C" w:rsidRPr="00C4219F" w:rsidRDefault="0027386C" w:rsidP="006057FA">
      <w:pPr>
        <w:autoSpaceDE w:val="0"/>
        <w:autoSpaceDN w:val="0"/>
        <w:adjustRightInd w:val="0"/>
        <w:spacing w:after="0" w:line="240" w:lineRule="auto"/>
        <w:rPr>
          <w:rFonts w:ascii="Times New Roman" w:hAnsi="Times New Roman" w:cs="Times New Roman"/>
        </w:rPr>
      </w:pPr>
    </w:p>
    <w:p w:rsidR="00673D42" w:rsidRDefault="003054AE" w:rsidP="0099671F">
      <w:pPr>
        <w:autoSpaceDE w:val="0"/>
        <w:autoSpaceDN w:val="0"/>
        <w:adjustRightInd w:val="0"/>
        <w:spacing w:after="0" w:line="240" w:lineRule="auto"/>
        <w:jc w:val="both"/>
        <w:rPr>
          <w:rFonts w:ascii="Times New Roman" w:hAnsi="Times New Roman" w:cs="Times New Roman"/>
        </w:rPr>
      </w:pPr>
      <w:r w:rsidRPr="00C4219F">
        <w:rPr>
          <w:rFonts w:ascii="Times New Roman" w:hAnsi="Times New Roman" w:cs="Times New Roman"/>
        </w:rPr>
        <w:t>The Greater Tompkins Consortium Board is supporte</w:t>
      </w:r>
      <w:r w:rsidR="0027386C" w:rsidRPr="00C4219F">
        <w:rPr>
          <w:rFonts w:ascii="Times New Roman" w:hAnsi="Times New Roman" w:cs="Times New Roman"/>
        </w:rPr>
        <w:t xml:space="preserve">d by several special committees </w:t>
      </w:r>
      <w:r w:rsidRPr="00C4219F">
        <w:rPr>
          <w:rFonts w:ascii="Times New Roman" w:hAnsi="Times New Roman" w:cs="Times New Roman"/>
        </w:rPr>
        <w:t xml:space="preserve">that </w:t>
      </w:r>
      <w:r w:rsidR="0027386C" w:rsidRPr="00C4219F">
        <w:rPr>
          <w:rFonts w:ascii="Times New Roman" w:hAnsi="Times New Roman" w:cs="Times New Roman"/>
        </w:rPr>
        <w:t>perform the in</w:t>
      </w:r>
      <w:r w:rsidR="00DE52F5" w:rsidRPr="00C4219F">
        <w:rPr>
          <w:rFonts w:ascii="Times New Roman" w:hAnsi="Times New Roman" w:cs="Times New Roman"/>
        </w:rPr>
        <w:t>-</w:t>
      </w:r>
      <w:r w:rsidR="0027386C" w:rsidRPr="00C4219F">
        <w:rPr>
          <w:rFonts w:ascii="Times New Roman" w:hAnsi="Times New Roman" w:cs="Times New Roman"/>
        </w:rPr>
        <w:t xml:space="preserve">depth research and deliberation </w:t>
      </w:r>
      <w:r w:rsidR="00DE52F5" w:rsidRPr="00C4219F">
        <w:rPr>
          <w:rFonts w:ascii="Times New Roman" w:hAnsi="Times New Roman" w:cs="Times New Roman"/>
        </w:rPr>
        <w:t>to</w:t>
      </w:r>
      <w:r w:rsidR="0027386C" w:rsidRPr="00C4219F">
        <w:rPr>
          <w:rFonts w:ascii="Times New Roman" w:hAnsi="Times New Roman" w:cs="Times New Roman"/>
        </w:rPr>
        <w:t xml:space="preserve"> propose policies, products, and process improvements to </w:t>
      </w:r>
      <w:r w:rsidRPr="00C4219F">
        <w:rPr>
          <w:rFonts w:ascii="Times New Roman" w:hAnsi="Times New Roman" w:cs="Times New Roman"/>
        </w:rPr>
        <w:t xml:space="preserve">benefit the operation of the </w:t>
      </w:r>
      <w:r w:rsidR="00DE52F5" w:rsidRPr="00C4219F">
        <w:rPr>
          <w:rFonts w:ascii="Times New Roman" w:hAnsi="Times New Roman" w:cs="Times New Roman"/>
        </w:rPr>
        <w:t>C</w:t>
      </w:r>
      <w:r w:rsidRPr="00C4219F">
        <w:rPr>
          <w:rFonts w:ascii="Times New Roman" w:hAnsi="Times New Roman" w:cs="Times New Roman"/>
        </w:rPr>
        <w:t xml:space="preserve">onsortium. </w:t>
      </w:r>
    </w:p>
    <w:p w:rsidR="0099671F" w:rsidRDefault="0099671F" w:rsidP="0099671F">
      <w:pPr>
        <w:autoSpaceDE w:val="0"/>
        <w:autoSpaceDN w:val="0"/>
        <w:adjustRightInd w:val="0"/>
        <w:spacing w:after="0" w:line="240" w:lineRule="auto"/>
        <w:jc w:val="both"/>
        <w:rPr>
          <w:rFonts w:ascii="Times New Roman" w:hAnsi="Times New Roman" w:cs="Times New Roman"/>
        </w:rPr>
      </w:pPr>
    </w:p>
    <w:p w:rsidR="003054AE" w:rsidRPr="00C4219F" w:rsidRDefault="0059747D" w:rsidP="00AC1424">
      <w:pPr>
        <w:pStyle w:val="ListParagraph"/>
        <w:numPr>
          <w:ilvl w:val="0"/>
          <w:numId w:val="3"/>
        </w:numPr>
        <w:autoSpaceDE w:val="0"/>
        <w:autoSpaceDN w:val="0"/>
        <w:adjustRightInd w:val="0"/>
        <w:jc w:val="both"/>
        <w:rPr>
          <w:sz w:val="22"/>
          <w:szCs w:val="22"/>
        </w:rPr>
      </w:pPr>
      <w:r>
        <w:rPr>
          <w:sz w:val="22"/>
          <w:szCs w:val="22"/>
        </w:rPr>
        <w:t>In 2015,</w:t>
      </w:r>
      <w:r w:rsidR="003054AE" w:rsidRPr="00C4219F">
        <w:rPr>
          <w:sz w:val="22"/>
          <w:szCs w:val="22"/>
        </w:rPr>
        <w:t xml:space="preserve"> the Audit an</w:t>
      </w:r>
      <w:r w:rsidR="0027386C" w:rsidRPr="00C4219F">
        <w:rPr>
          <w:sz w:val="22"/>
          <w:szCs w:val="22"/>
        </w:rPr>
        <w:t>d Finance Committee</w:t>
      </w:r>
      <w:r>
        <w:rPr>
          <w:sz w:val="22"/>
          <w:szCs w:val="22"/>
        </w:rPr>
        <w:t>,</w:t>
      </w:r>
      <w:r w:rsidR="009E49D8">
        <w:rPr>
          <w:sz w:val="22"/>
          <w:szCs w:val="22"/>
        </w:rPr>
        <w:t xml:space="preserve"> </w:t>
      </w:r>
      <w:r w:rsidR="00060378" w:rsidRPr="00C4219F">
        <w:rPr>
          <w:sz w:val="22"/>
          <w:szCs w:val="22"/>
        </w:rPr>
        <w:t xml:space="preserve">chaired by </w:t>
      </w:r>
      <w:r w:rsidR="009E49D8">
        <w:rPr>
          <w:sz w:val="22"/>
          <w:szCs w:val="22"/>
        </w:rPr>
        <w:t xml:space="preserve">CFO </w:t>
      </w:r>
      <w:r w:rsidR="00060378" w:rsidRPr="00C4219F">
        <w:rPr>
          <w:sz w:val="22"/>
          <w:szCs w:val="22"/>
        </w:rPr>
        <w:t>Steve Thayer,</w:t>
      </w:r>
      <w:r w:rsidR="0027386C" w:rsidRPr="00C4219F">
        <w:rPr>
          <w:sz w:val="22"/>
          <w:szCs w:val="22"/>
        </w:rPr>
        <w:t xml:space="preserve"> </w:t>
      </w:r>
      <w:r w:rsidR="003C40AB">
        <w:rPr>
          <w:sz w:val="22"/>
          <w:szCs w:val="22"/>
        </w:rPr>
        <w:t xml:space="preserve">in addition to its annual task of developing the next year’s budget and premium rates, followed through with items identified by the medical claims auditor with Excellus and began the prescription claims audit process of </w:t>
      </w:r>
      <w:proofErr w:type="spellStart"/>
      <w:r w:rsidR="003C40AB">
        <w:rPr>
          <w:sz w:val="22"/>
          <w:szCs w:val="22"/>
        </w:rPr>
        <w:t>ProAct</w:t>
      </w:r>
      <w:proofErr w:type="spellEnd"/>
      <w:r w:rsidR="003054AE" w:rsidRPr="00C4219F">
        <w:rPr>
          <w:sz w:val="22"/>
          <w:szCs w:val="22"/>
        </w:rPr>
        <w:t>. The Audit and Finance Comm</w:t>
      </w:r>
      <w:r w:rsidR="0027386C" w:rsidRPr="00C4219F">
        <w:rPr>
          <w:sz w:val="22"/>
          <w:szCs w:val="22"/>
        </w:rPr>
        <w:t xml:space="preserve">ittee collaborates closely with </w:t>
      </w:r>
      <w:r w:rsidR="003054AE" w:rsidRPr="00C4219F">
        <w:rPr>
          <w:sz w:val="22"/>
          <w:szCs w:val="22"/>
        </w:rPr>
        <w:t xml:space="preserve">Steve Locey, the Consultant, </w:t>
      </w:r>
      <w:r w:rsidR="0027386C" w:rsidRPr="00C4219F">
        <w:rPr>
          <w:sz w:val="22"/>
          <w:szCs w:val="22"/>
        </w:rPr>
        <w:t>and Rick Snyder Treasurer, to</w:t>
      </w:r>
      <w:r w:rsidR="00060378" w:rsidRPr="00C4219F">
        <w:rPr>
          <w:sz w:val="22"/>
          <w:szCs w:val="22"/>
        </w:rPr>
        <w:t xml:space="preserve"> monitor the budget and spending trends while</w:t>
      </w:r>
      <w:r w:rsidR="0027386C" w:rsidRPr="00C4219F">
        <w:rPr>
          <w:sz w:val="22"/>
          <w:szCs w:val="22"/>
        </w:rPr>
        <w:t xml:space="preserve"> maintain</w:t>
      </w:r>
      <w:r w:rsidR="00060378" w:rsidRPr="00C4219F">
        <w:rPr>
          <w:sz w:val="22"/>
          <w:szCs w:val="22"/>
        </w:rPr>
        <w:t>ing a</w:t>
      </w:r>
      <w:r w:rsidR="0027386C" w:rsidRPr="00C4219F">
        <w:rPr>
          <w:sz w:val="22"/>
          <w:szCs w:val="22"/>
        </w:rPr>
        <w:t xml:space="preserve"> strong reserving policy</w:t>
      </w:r>
      <w:r w:rsidR="003054AE" w:rsidRPr="00C4219F">
        <w:rPr>
          <w:sz w:val="22"/>
          <w:szCs w:val="22"/>
        </w:rPr>
        <w:t>.</w:t>
      </w:r>
    </w:p>
    <w:p w:rsidR="00060378" w:rsidRPr="00C4219F" w:rsidRDefault="00060378" w:rsidP="006057FA">
      <w:pPr>
        <w:autoSpaceDE w:val="0"/>
        <w:autoSpaceDN w:val="0"/>
        <w:adjustRightInd w:val="0"/>
        <w:spacing w:after="0" w:line="240" w:lineRule="auto"/>
        <w:rPr>
          <w:rFonts w:ascii="Times New Roman" w:hAnsi="Times New Roman" w:cs="Times New Roman"/>
        </w:rPr>
      </w:pPr>
    </w:p>
    <w:p w:rsidR="003054AE" w:rsidRPr="00C4219F" w:rsidRDefault="003054AE" w:rsidP="00AC1424">
      <w:pPr>
        <w:pStyle w:val="ListParagraph"/>
        <w:numPr>
          <w:ilvl w:val="0"/>
          <w:numId w:val="3"/>
        </w:numPr>
        <w:autoSpaceDE w:val="0"/>
        <w:autoSpaceDN w:val="0"/>
        <w:adjustRightInd w:val="0"/>
        <w:jc w:val="both"/>
        <w:rPr>
          <w:sz w:val="22"/>
          <w:szCs w:val="22"/>
        </w:rPr>
      </w:pPr>
      <w:r w:rsidRPr="00C4219F">
        <w:rPr>
          <w:sz w:val="22"/>
          <w:szCs w:val="22"/>
        </w:rPr>
        <w:t>The Owning Your Own Health (OYOH) Committe</w:t>
      </w:r>
      <w:r w:rsidR="00060378" w:rsidRPr="00C4219F">
        <w:rPr>
          <w:sz w:val="22"/>
          <w:szCs w:val="22"/>
        </w:rPr>
        <w:t xml:space="preserve">e, chaired by </w:t>
      </w:r>
      <w:r w:rsidR="009E49D8">
        <w:rPr>
          <w:sz w:val="22"/>
          <w:szCs w:val="22"/>
        </w:rPr>
        <w:t xml:space="preserve">Director </w:t>
      </w:r>
      <w:r w:rsidR="00060378" w:rsidRPr="00C4219F">
        <w:rPr>
          <w:sz w:val="22"/>
          <w:szCs w:val="22"/>
        </w:rPr>
        <w:t xml:space="preserve">Mack Cook, </w:t>
      </w:r>
      <w:r w:rsidR="003C40AB">
        <w:rPr>
          <w:sz w:val="22"/>
          <w:szCs w:val="22"/>
        </w:rPr>
        <w:t>recommended the Excellus Blue4U program to fill the wellness component of our benefit plans that require it</w:t>
      </w:r>
      <w:r w:rsidR="00060378" w:rsidRPr="00C4219F">
        <w:rPr>
          <w:sz w:val="22"/>
          <w:szCs w:val="22"/>
        </w:rPr>
        <w:t xml:space="preserve">. </w:t>
      </w:r>
      <w:r w:rsidRPr="00C4219F">
        <w:rPr>
          <w:sz w:val="22"/>
          <w:szCs w:val="22"/>
        </w:rPr>
        <w:t xml:space="preserve">They continue to </w:t>
      </w:r>
      <w:r w:rsidR="00060378" w:rsidRPr="00C4219F">
        <w:rPr>
          <w:sz w:val="22"/>
          <w:szCs w:val="22"/>
        </w:rPr>
        <w:t xml:space="preserve">explore </w:t>
      </w:r>
      <w:r w:rsidRPr="00C4219F">
        <w:rPr>
          <w:sz w:val="22"/>
          <w:szCs w:val="22"/>
        </w:rPr>
        <w:t>wellness awareness programs</w:t>
      </w:r>
      <w:r w:rsidR="00060378" w:rsidRPr="00C4219F">
        <w:rPr>
          <w:sz w:val="22"/>
          <w:szCs w:val="22"/>
        </w:rPr>
        <w:t xml:space="preserve"> and keep the cost controlled</w:t>
      </w:r>
      <w:r w:rsidRPr="00C4219F">
        <w:rPr>
          <w:sz w:val="22"/>
          <w:szCs w:val="22"/>
        </w:rPr>
        <w:t xml:space="preserve"> </w:t>
      </w:r>
      <w:r w:rsidR="00060378" w:rsidRPr="00C4219F">
        <w:rPr>
          <w:sz w:val="22"/>
          <w:szCs w:val="22"/>
        </w:rPr>
        <w:t xml:space="preserve">by utilizing existing community </w:t>
      </w:r>
      <w:r w:rsidRPr="00C4219F">
        <w:rPr>
          <w:sz w:val="22"/>
          <w:szCs w:val="22"/>
        </w:rPr>
        <w:t xml:space="preserve">and vendor programs. </w:t>
      </w:r>
      <w:r w:rsidR="003C40AB">
        <w:rPr>
          <w:sz w:val="22"/>
          <w:szCs w:val="22"/>
        </w:rPr>
        <w:t>For the second year, t</w:t>
      </w:r>
      <w:r w:rsidR="00912412" w:rsidRPr="00C4219F">
        <w:rPr>
          <w:sz w:val="22"/>
          <w:szCs w:val="22"/>
        </w:rPr>
        <w:t xml:space="preserve">hey </w:t>
      </w:r>
      <w:r w:rsidR="003C40AB">
        <w:rPr>
          <w:sz w:val="22"/>
          <w:szCs w:val="22"/>
        </w:rPr>
        <w:t xml:space="preserve">coordinated Flu Clinics with </w:t>
      </w:r>
      <w:proofErr w:type="spellStart"/>
      <w:r w:rsidR="003C40AB">
        <w:rPr>
          <w:sz w:val="22"/>
          <w:szCs w:val="22"/>
        </w:rPr>
        <w:t>ProAct</w:t>
      </w:r>
      <w:proofErr w:type="spellEnd"/>
      <w:r w:rsidRPr="00C4219F">
        <w:rPr>
          <w:sz w:val="22"/>
          <w:szCs w:val="22"/>
        </w:rPr>
        <w:t>.</w:t>
      </w:r>
    </w:p>
    <w:p w:rsidR="00060378" w:rsidRPr="00C4219F" w:rsidRDefault="00060378" w:rsidP="006057FA">
      <w:pPr>
        <w:autoSpaceDE w:val="0"/>
        <w:autoSpaceDN w:val="0"/>
        <w:adjustRightInd w:val="0"/>
        <w:spacing w:after="0" w:line="240" w:lineRule="auto"/>
        <w:rPr>
          <w:rFonts w:ascii="Times New Roman" w:hAnsi="Times New Roman" w:cs="Times New Roman"/>
        </w:rPr>
      </w:pPr>
    </w:p>
    <w:p w:rsidR="00060378" w:rsidRPr="00C4219F" w:rsidRDefault="003054AE" w:rsidP="00F75BE5">
      <w:pPr>
        <w:pStyle w:val="ListParagraph"/>
        <w:numPr>
          <w:ilvl w:val="0"/>
          <w:numId w:val="3"/>
        </w:numPr>
        <w:autoSpaceDE w:val="0"/>
        <w:autoSpaceDN w:val="0"/>
        <w:adjustRightInd w:val="0"/>
        <w:jc w:val="both"/>
        <w:rPr>
          <w:sz w:val="22"/>
          <w:szCs w:val="22"/>
        </w:rPr>
      </w:pPr>
      <w:r w:rsidRPr="00C4219F">
        <w:rPr>
          <w:sz w:val="22"/>
          <w:szCs w:val="22"/>
        </w:rPr>
        <w:t xml:space="preserve">The Joint Committee on Plan Structure and Design, chaired by </w:t>
      </w:r>
      <w:r w:rsidR="009E49D8">
        <w:rPr>
          <w:sz w:val="22"/>
          <w:szCs w:val="22"/>
        </w:rPr>
        <w:t xml:space="preserve">Director </w:t>
      </w:r>
      <w:r w:rsidRPr="00C4219F">
        <w:rPr>
          <w:sz w:val="22"/>
          <w:szCs w:val="22"/>
        </w:rPr>
        <w:t xml:space="preserve">Scott Weatherby </w:t>
      </w:r>
      <w:r w:rsidR="00060378" w:rsidRPr="00C4219F">
        <w:rPr>
          <w:sz w:val="22"/>
          <w:szCs w:val="22"/>
        </w:rPr>
        <w:t>reviewed and provided input on</w:t>
      </w:r>
      <w:r w:rsidR="003C40AB">
        <w:rPr>
          <w:sz w:val="22"/>
          <w:szCs w:val="22"/>
        </w:rPr>
        <w:t xml:space="preserve"> three</w:t>
      </w:r>
      <w:r w:rsidRPr="00C4219F">
        <w:rPr>
          <w:sz w:val="22"/>
          <w:szCs w:val="22"/>
        </w:rPr>
        <w:t xml:space="preserve"> new products to</w:t>
      </w:r>
      <w:r w:rsidR="00060378" w:rsidRPr="00C4219F">
        <w:rPr>
          <w:sz w:val="22"/>
          <w:szCs w:val="22"/>
        </w:rPr>
        <w:t xml:space="preserve"> </w:t>
      </w:r>
      <w:r w:rsidRPr="00C4219F">
        <w:rPr>
          <w:sz w:val="22"/>
          <w:szCs w:val="22"/>
        </w:rPr>
        <w:t xml:space="preserve">the Consortium’s menu of plan offerings. </w:t>
      </w:r>
      <w:r w:rsidR="00DE52F5" w:rsidRPr="00C4219F">
        <w:rPr>
          <w:sz w:val="22"/>
          <w:szCs w:val="22"/>
        </w:rPr>
        <w:t xml:space="preserve"> </w:t>
      </w:r>
      <w:r w:rsidR="003C40AB">
        <w:rPr>
          <w:sz w:val="22"/>
          <w:szCs w:val="22"/>
        </w:rPr>
        <w:t>The Committee was active in understanding and preparing for benefit adjustments that may be required should the Platinum, Gold, Silver, and/or Bronze</w:t>
      </w:r>
      <w:r w:rsidR="00512BFD">
        <w:rPr>
          <w:sz w:val="22"/>
          <w:szCs w:val="22"/>
        </w:rPr>
        <w:t xml:space="preserve"> Plans</w:t>
      </w:r>
      <w:r w:rsidR="003C40AB">
        <w:rPr>
          <w:sz w:val="22"/>
          <w:szCs w:val="22"/>
        </w:rPr>
        <w:t xml:space="preserve"> need adjustment to meet their actuarial value requirements.</w:t>
      </w:r>
    </w:p>
    <w:p w:rsidR="00060378" w:rsidRPr="00C4219F" w:rsidRDefault="00060378" w:rsidP="00060378">
      <w:pPr>
        <w:autoSpaceDE w:val="0"/>
        <w:autoSpaceDN w:val="0"/>
        <w:adjustRightInd w:val="0"/>
        <w:spacing w:after="0"/>
        <w:rPr>
          <w:rFonts w:ascii="Times New Roman" w:hAnsi="Times New Roman" w:cs="Times New Roman"/>
        </w:rPr>
      </w:pPr>
    </w:p>
    <w:p w:rsidR="003054AE" w:rsidRDefault="00060378" w:rsidP="00BF5A32">
      <w:pPr>
        <w:autoSpaceDE w:val="0"/>
        <w:autoSpaceDN w:val="0"/>
        <w:adjustRightInd w:val="0"/>
        <w:spacing w:after="0" w:line="240" w:lineRule="auto"/>
        <w:rPr>
          <w:rFonts w:ascii="Times New Roman" w:hAnsi="Times New Roman" w:cs="Times New Roman"/>
          <w:b/>
        </w:rPr>
      </w:pPr>
      <w:r w:rsidRPr="00C4219F">
        <w:rPr>
          <w:rFonts w:ascii="Times New Roman" w:hAnsi="Times New Roman" w:cs="Times New Roman"/>
          <w:b/>
        </w:rPr>
        <w:t>Financial Highlights:</w:t>
      </w:r>
    </w:p>
    <w:p w:rsidR="009E49D8" w:rsidRDefault="009E49D8" w:rsidP="00BF5A32">
      <w:pPr>
        <w:autoSpaceDE w:val="0"/>
        <w:autoSpaceDN w:val="0"/>
        <w:adjustRightInd w:val="0"/>
        <w:spacing w:after="0" w:line="240" w:lineRule="auto"/>
        <w:rPr>
          <w:rFonts w:ascii="Times New Roman" w:hAnsi="Times New Roman" w:cs="Times New Roman"/>
          <w:b/>
        </w:rPr>
      </w:pPr>
    </w:p>
    <w:p w:rsidR="009E49D8" w:rsidRPr="00C4219F" w:rsidRDefault="009E49D8" w:rsidP="00BF5A3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Net position:</w:t>
      </w:r>
    </w:p>
    <w:p w:rsidR="006057FA" w:rsidRPr="00C4219F" w:rsidRDefault="004451F6" w:rsidP="004451F6">
      <w:pPr>
        <w:spacing w:after="0" w:line="240" w:lineRule="auto"/>
        <w:ind w:left="720" w:right="72" w:firstLine="720"/>
        <w:jc w:val="both"/>
        <w:textAlignment w:val="baseline"/>
        <w:rPr>
          <w:rFonts w:ascii="Times New Roman" w:eastAsia="Arial" w:hAnsi="Times New Roman" w:cs="Times New Roman"/>
          <w:color w:val="000000"/>
        </w:rPr>
      </w:pPr>
      <w:r>
        <w:rPr>
          <w:rFonts w:ascii="Times New Roman" w:eastAsia="Arial" w:hAnsi="Times New Roman" w:cs="Times New Roman"/>
          <w:color w:val="000000"/>
        </w:rPr>
        <w:br/>
      </w:r>
      <w:r w:rsidR="006057FA" w:rsidRPr="00C4219F">
        <w:rPr>
          <w:rFonts w:ascii="Times New Roman" w:eastAsia="Arial" w:hAnsi="Times New Roman" w:cs="Times New Roman"/>
          <w:color w:val="000000"/>
        </w:rPr>
        <w:t>For t</w:t>
      </w:r>
      <w:r w:rsidR="003C40AB">
        <w:rPr>
          <w:rFonts w:ascii="Times New Roman" w:eastAsia="Arial" w:hAnsi="Times New Roman" w:cs="Times New Roman"/>
          <w:color w:val="000000"/>
        </w:rPr>
        <w:t>he year ending December 31, 2015</w:t>
      </w:r>
      <w:r w:rsidR="006057FA" w:rsidRPr="00C4219F">
        <w:rPr>
          <w:rFonts w:ascii="Times New Roman" w:eastAsia="Arial" w:hAnsi="Times New Roman" w:cs="Times New Roman"/>
          <w:color w:val="000000"/>
        </w:rPr>
        <w:t>, the Plan’s net positi</w:t>
      </w:r>
      <w:r w:rsidR="009E49D8">
        <w:rPr>
          <w:rFonts w:ascii="Times New Roman" w:eastAsia="Arial" w:hAnsi="Times New Roman" w:cs="Times New Roman"/>
          <w:color w:val="000000"/>
        </w:rPr>
        <w:t>on has increased by $</w:t>
      </w:r>
      <w:r w:rsidR="00CA6D1D">
        <w:rPr>
          <w:rFonts w:ascii="Times New Roman" w:eastAsia="Arial" w:hAnsi="Times New Roman" w:cs="Times New Roman"/>
          <w:color w:val="000000"/>
        </w:rPr>
        <w:t>6,927,266</w:t>
      </w:r>
      <w:r w:rsidR="001A6E1E">
        <w:rPr>
          <w:rFonts w:ascii="Times New Roman" w:eastAsia="Arial" w:hAnsi="Times New Roman" w:cs="Times New Roman"/>
          <w:color w:val="000000"/>
        </w:rPr>
        <w:t xml:space="preserve"> to a new</w:t>
      </w:r>
      <w:r w:rsidR="009E49D8">
        <w:rPr>
          <w:rFonts w:ascii="Times New Roman" w:eastAsia="Arial" w:hAnsi="Times New Roman" w:cs="Times New Roman"/>
          <w:color w:val="000000"/>
        </w:rPr>
        <w:t xml:space="preserve"> total of $</w:t>
      </w:r>
      <w:r w:rsidR="008608F6">
        <w:rPr>
          <w:rFonts w:ascii="Times New Roman" w:eastAsia="Arial" w:hAnsi="Times New Roman" w:cs="Times New Roman"/>
          <w:color w:val="000000"/>
        </w:rPr>
        <w:t>17,827,965</w:t>
      </w:r>
      <w:r w:rsidR="006057FA" w:rsidRPr="00C4219F">
        <w:rPr>
          <w:rFonts w:ascii="Times New Roman" w:eastAsia="Arial" w:hAnsi="Times New Roman" w:cs="Times New Roman"/>
          <w:color w:val="000000"/>
        </w:rPr>
        <w:t>.</w:t>
      </w:r>
      <w:r w:rsidR="009E49D8">
        <w:rPr>
          <w:rFonts w:ascii="Times New Roman" w:eastAsia="Arial" w:hAnsi="Times New Roman" w:cs="Times New Roman"/>
          <w:color w:val="000000"/>
        </w:rPr>
        <w:t xml:space="preserve">  </w:t>
      </w:r>
      <w:r>
        <w:rPr>
          <w:rFonts w:ascii="Times New Roman" w:eastAsia="Arial" w:hAnsi="Times New Roman" w:cs="Times New Roman"/>
          <w:color w:val="000000"/>
        </w:rPr>
        <w:t xml:space="preserve">The </w:t>
      </w:r>
      <w:r w:rsidR="009E49D8">
        <w:rPr>
          <w:rFonts w:ascii="Times New Roman" w:eastAsia="Arial" w:hAnsi="Times New Roman" w:cs="Times New Roman"/>
          <w:color w:val="000000"/>
        </w:rPr>
        <w:t>GTCMHIC Board of Directors ha</w:t>
      </w:r>
      <w:r>
        <w:rPr>
          <w:rFonts w:ascii="Times New Roman" w:eastAsia="Arial" w:hAnsi="Times New Roman" w:cs="Times New Roman"/>
          <w:color w:val="000000"/>
        </w:rPr>
        <w:t>s</w:t>
      </w:r>
      <w:r w:rsidR="009E49D8">
        <w:rPr>
          <w:rFonts w:ascii="Times New Roman" w:eastAsia="Arial" w:hAnsi="Times New Roman" w:cs="Times New Roman"/>
          <w:color w:val="000000"/>
        </w:rPr>
        <w:t xml:space="preserve"> been consciously building reserves starting in year one (2011) when required to post the Incurred </w:t>
      </w:r>
      <w:proofErr w:type="gramStart"/>
      <w:r w:rsidR="009E49D8">
        <w:rPr>
          <w:rFonts w:ascii="Times New Roman" w:eastAsia="Arial" w:hAnsi="Times New Roman" w:cs="Times New Roman"/>
          <w:color w:val="000000"/>
        </w:rPr>
        <w:t>But</w:t>
      </w:r>
      <w:proofErr w:type="gramEnd"/>
      <w:r w:rsidR="009E49D8">
        <w:rPr>
          <w:rFonts w:ascii="Times New Roman" w:eastAsia="Arial" w:hAnsi="Times New Roman" w:cs="Times New Roman"/>
          <w:color w:val="000000"/>
        </w:rPr>
        <w:t xml:space="preserve"> N</w:t>
      </w:r>
      <w:r w:rsidR="00F51BF8">
        <w:rPr>
          <w:rFonts w:ascii="Times New Roman" w:eastAsia="Arial" w:hAnsi="Times New Roman" w:cs="Times New Roman"/>
          <w:color w:val="000000"/>
        </w:rPr>
        <w:t>ot Reported Reserve (IBNR) of $3</w:t>
      </w:r>
      <w:r w:rsidR="00CA6D1D">
        <w:rPr>
          <w:rFonts w:ascii="Times New Roman" w:eastAsia="Arial" w:hAnsi="Times New Roman" w:cs="Times New Roman"/>
          <w:color w:val="000000"/>
        </w:rPr>
        <w:t>.0</w:t>
      </w:r>
      <w:r w:rsidR="009E49D8">
        <w:rPr>
          <w:rFonts w:ascii="Times New Roman" w:eastAsia="Arial" w:hAnsi="Times New Roman" w:cs="Times New Roman"/>
          <w:color w:val="000000"/>
        </w:rPr>
        <w:t xml:space="preserve"> mil</w:t>
      </w:r>
      <w:r w:rsidR="00CA6D1D">
        <w:rPr>
          <w:rFonts w:ascii="Times New Roman" w:eastAsia="Arial" w:hAnsi="Times New Roman" w:cs="Times New Roman"/>
          <w:color w:val="000000"/>
        </w:rPr>
        <w:t xml:space="preserve">lion and Surplus </w:t>
      </w:r>
      <w:r w:rsidR="006A0EF8">
        <w:rPr>
          <w:rFonts w:ascii="Times New Roman" w:eastAsia="Arial" w:hAnsi="Times New Roman" w:cs="Times New Roman"/>
          <w:color w:val="000000"/>
        </w:rPr>
        <w:t>R</w:t>
      </w:r>
      <w:r w:rsidR="00CA6D1D">
        <w:rPr>
          <w:rFonts w:ascii="Times New Roman" w:eastAsia="Arial" w:hAnsi="Times New Roman" w:cs="Times New Roman"/>
          <w:color w:val="000000"/>
        </w:rPr>
        <w:t>eserve of $1.3</w:t>
      </w:r>
      <w:r w:rsidR="009E49D8">
        <w:rPr>
          <w:rFonts w:ascii="Times New Roman" w:eastAsia="Arial" w:hAnsi="Times New Roman" w:cs="Times New Roman"/>
          <w:color w:val="000000"/>
        </w:rPr>
        <w:t xml:space="preserve"> million.  </w:t>
      </w:r>
      <w:r w:rsidR="00251841">
        <w:rPr>
          <w:rFonts w:ascii="Times New Roman" w:eastAsia="Arial" w:hAnsi="Times New Roman" w:cs="Times New Roman"/>
          <w:color w:val="000000"/>
        </w:rPr>
        <w:t xml:space="preserve">In subsequent years, </w:t>
      </w:r>
      <w:r w:rsidR="00CA6D1D">
        <w:rPr>
          <w:rFonts w:ascii="Times New Roman" w:eastAsia="Arial" w:hAnsi="Times New Roman" w:cs="Times New Roman"/>
          <w:color w:val="000000"/>
        </w:rPr>
        <w:t>additional reserves were created</w:t>
      </w:r>
      <w:r w:rsidR="00251841">
        <w:rPr>
          <w:rFonts w:ascii="Times New Roman" w:eastAsia="Arial" w:hAnsi="Times New Roman" w:cs="Times New Roman"/>
          <w:color w:val="000000"/>
        </w:rPr>
        <w:t xml:space="preserve"> to protect the Consortium against an</w:t>
      </w:r>
      <w:r>
        <w:rPr>
          <w:rFonts w:ascii="Times New Roman" w:eastAsia="Arial" w:hAnsi="Times New Roman" w:cs="Times New Roman"/>
          <w:color w:val="000000"/>
        </w:rPr>
        <w:t>y</w:t>
      </w:r>
      <w:r w:rsidR="00251841">
        <w:rPr>
          <w:rFonts w:ascii="Times New Roman" w:eastAsia="Arial" w:hAnsi="Times New Roman" w:cs="Times New Roman"/>
          <w:color w:val="000000"/>
        </w:rPr>
        <w:t xml:space="preserve"> abnormal claims activity which </w:t>
      </w:r>
      <w:r w:rsidR="008A550F">
        <w:rPr>
          <w:rFonts w:ascii="Times New Roman" w:eastAsia="Arial" w:hAnsi="Times New Roman" w:cs="Times New Roman"/>
          <w:color w:val="000000"/>
        </w:rPr>
        <w:t>is a statistical possibility.  For instance, the “Catastrophic Claims Reserve” was</w:t>
      </w:r>
      <w:r w:rsidR="001A6E1E">
        <w:rPr>
          <w:rFonts w:ascii="Times New Roman" w:eastAsia="Arial" w:hAnsi="Times New Roman" w:cs="Times New Roman"/>
          <w:color w:val="000000"/>
        </w:rPr>
        <w:t xml:space="preserve"> </w:t>
      </w:r>
      <w:r w:rsidR="008A550F">
        <w:rPr>
          <w:rFonts w:ascii="Times New Roman" w:eastAsia="Arial" w:hAnsi="Times New Roman" w:cs="Times New Roman"/>
          <w:color w:val="000000"/>
        </w:rPr>
        <w:t>established</w:t>
      </w:r>
      <w:r w:rsidR="001A6E1E">
        <w:rPr>
          <w:rFonts w:ascii="Times New Roman" w:eastAsia="Arial" w:hAnsi="Times New Roman" w:cs="Times New Roman"/>
          <w:color w:val="000000"/>
        </w:rPr>
        <w:t xml:space="preserve"> to </w:t>
      </w:r>
      <w:r w:rsidR="008A550F">
        <w:rPr>
          <w:rFonts w:ascii="Times New Roman" w:eastAsia="Arial" w:hAnsi="Times New Roman" w:cs="Times New Roman"/>
          <w:color w:val="000000"/>
        </w:rPr>
        <w:t>protect the Consortium with the retention of</w:t>
      </w:r>
      <w:r w:rsidR="001A6E1E">
        <w:rPr>
          <w:rFonts w:ascii="Times New Roman" w:eastAsia="Arial" w:hAnsi="Times New Roman" w:cs="Times New Roman"/>
          <w:color w:val="000000"/>
        </w:rPr>
        <w:t xml:space="preserve"> the first $400,000 of a specific claim. This action</w:t>
      </w:r>
      <w:r w:rsidR="00251841">
        <w:rPr>
          <w:rFonts w:ascii="Times New Roman" w:eastAsia="Arial" w:hAnsi="Times New Roman" w:cs="Times New Roman"/>
          <w:color w:val="000000"/>
        </w:rPr>
        <w:t xml:space="preserve"> reduce</w:t>
      </w:r>
      <w:r w:rsidR="008A550F">
        <w:rPr>
          <w:rFonts w:ascii="Times New Roman" w:eastAsia="Arial" w:hAnsi="Times New Roman" w:cs="Times New Roman"/>
          <w:color w:val="000000"/>
        </w:rPr>
        <w:t>d</w:t>
      </w:r>
      <w:r w:rsidR="00251841">
        <w:rPr>
          <w:rFonts w:ascii="Times New Roman" w:eastAsia="Arial" w:hAnsi="Times New Roman" w:cs="Times New Roman"/>
          <w:color w:val="000000"/>
        </w:rPr>
        <w:t xml:space="preserve"> the Stop-Loss Insurance premium.  The Board o</w:t>
      </w:r>
      <w:r w:rsidR="003E0B87">
        <w:rPr>
          <w:rFonts w:ascii="Times New Roman" w:eastAsia="Arial" w:hAnsi="Times New Roman" w:cs="Times New Roman"/>
          <w:color w:val="000000"/>
        </w:rPr>
        <w:t>f Directors</w:t>
      </w:r>
      <w:r w:rsidR="00532AC4">
        <w:rPr>
          <w:rFonts w:ascii="Times New Roman" w:eastAsia="Arial" w:hAnsi="Times New Roman" w:cs="Times New Roman"/>
          <w:color w:val="000000"/>
        </w:rPr>
        <w:t>, with this 2015</w:t>
      </w:r>
      <w:r w:rsidR="00251841">
        <w:rPr>
          <w:rFonts w:ascii="Times New Roman" w:eastAsia="Arial" w:hAnsi="Times New Roman" w:cs="Times New Roman"/>
          <w:color w:val="000000"/>
        </w:rPr>
        <w:t xml:space="preserve"> posting of net </w:t>
      </w:r>
      <w:r w:rsidR="00251841" w:rsidRPr="008A550F">
        <w:rPr>
          <w:rFonts w:ascii="Times New Roman" w:eastAsia="Arial" w:hAnsi="Times New Roman" w:cs="Times New Roman"/>
          <w:color w:val="000000"/>
        </w:rPr>
        <w:t>position,</w:t>
      </w:r>
      <w:r w:rsidR="00512BFD" w:rsidRPr="008A550F">
        <w:rPr>
          <w:rFonts w:ascii="Times New Roman" w:eastAsia="Arial" w:hAnsi="Times New Roman" w:cs="Times New Roman"/>
          <w:color w:val="000000"/>
        </w:rPr>
        <w:t xml:space="preserve"> determined</w:t>
      </w:r>
      <w:r w:rsidR="00251841" w:rsidRPr="008A550F">
        <w:rPr>
          <w:rFonts w:ascii="Times New Roman" w:eastAsia="Arial" w:hAnsi="Times New Roman" w:cs="Times New Roman"/>
          <w:color w:val="000000"/>
        </w:rPr>
        <w:t xml:space="preserve"> that </w:t>
      </w:r>
      <w:r w:rsidR="003E0B87" w:rsidRPr="008A550F">
        <w:rPr>
          <w:rFonts w:ascii="Times New Roman" w:eastAsia="Arial" w:hAnsi="Times New Roman" w:cs="Times New Roman"/>
          <w:color w:val="000000"/>
        </w:rPr>
        <w:t>fund balance</w:t>
      </w:r>
      <w:r w:rsidR="00251841" w:rsidRPr="008A550F">
        <w:rPr>
          <w:rFonts w:ascii="Times New Roman" w:eastAsia="Arial" w:hAnsi="Times New Roman" w:cs="Times New Roman"/>
          <w:color w:val="000000"/>
        </w:rPr>
        <w:t xml:space="preserve"> could be used to offse</w:t>
      </w:r>
      <w:r w:rsidR="00532AC4" w:rsidRPr="008A550F">
        <w:rPr>
          <w:rFonts w:ascii="Times New Roman" w:eastAsia="Arial" w:hAnsi="Times New Roman" w:cs="Times New Roman"/>
          <w:color w:val="000000"/>
        </w:rPr>
        <w:t>t premiums which resulted in a 3</w:t>
      </w:r>
      <w:r w:rsidR="00251841" w:rsidRPr="008A550F">
        <w:rPr>
          <w:rFonts w:ascii="Times New Roman" w:eastAsia="Arial" w:hAnsi="Times New Roman" w:cs="Times New Roman"/>
          <w:color w:val="000000"/>
        </w:rPr>
        <w:t xml:space="preserve">% increase in premiums </w:t>
      </w:r>
      <w:r w:rsidR="003E0B87" w:rsidRPr="008A550F">
        <w:rPr>
          <w:rFonts w:ascii="Times New Roman" w:eastAsia="Arial" w:hAnsi="Times New Roman" w:cs="Times New Roman"/>
          <w:color w:val="000000"/>
        </w:rPr>
        <w:t>when compared to</w:t>
      </w:r>
      <w:r w:rsidR="00512BFD" w:rsidRPr="008A550F">
        <w:rPr>
          <w:rFonts w:ascii="Times New Roman" w:eastAsia="Arial" w:hAnsi="Times New Roman" w:cs="Times New Roman"/>
          <w:color w:val="000000"/>
        </w:rPr>
        <w:t xml:space="preserve"> the</w:t>
      </w:r>
      <w:r w:rsidR="003E0B87" w:rsidRPr="008A550F">
        <w:rPr>
          <w:rFonts w:ascii="Times New Roman" w:eastAsia="Arial" w:hAnsi="Times New Roman" w:cs="Times New Roman"/>
          <w:color w:val="000000"/>
        </w:rPr>
        <w:t xml:space="preserve"> industry average medical inflation of roughly 8%</w:t>
      </w:r>
      <w:r w:rsidR="00251841" w:rsidRPr="008A550F">
        <w:rPr>
          <w:rFonts w:ascii="Times New Roman" w:eastAsia="Arial" w:hAnsi="Times New Roman" w:cs="Times New Roman"/>
          <w:color w:val="000000"/>
        </w:rPr>
        <w:t>.</w:t>
      </w:r>
    </w:p>
    <w:p w:rsidR="009E49D8" w:rsidRDefault="009E49D8" w:rsidP="006701D2">
      <w:pPr>
        <w:autoSpaceDE w:val="0"/>
        <w:autoSpaceDN w:val="0"/>
        <w:adjustRightInd w:val="0"/>
        <w:spacing w:after="0"/>
        <w:jc w:val="both"/>
        <w:rPr>
          <w:rFonts w:ascii="Times New Roman" w:hAnsi="Times New Roman" w:cs="Times New Roman"/>
          <w:b/>
        </w:rPr>
      </w:pPr>
    </w:p>
    <w:p w:rsidR="0099671F" w:rsidRDefault="0099671F">
      <w:pPr>
        <w:rPr>
          <w:rFonts w:ascii="Times New Roman" w:hAnsi="Times New Roman" w:cs="Times New Roman"/>
          <w:b/>
        </w:rPr>
      </w:pPr>
      <w:r>
        <w:rPr>
          <w:rFonts w:ascii="Times New Roman" w:hAnsi="Times New Roman" w:cs="Times New Roman"/>
          <w:b/>
        </w:rPr>
        <w:br w:type="page"/>
      </w:r>
    </w:p>
    <w:p w:rsidR="00075B9F" w:rsidRDefault="00075B9F" w:rsidP="006701D2">
      <w:pPr>
        <w:autoSpaceDE w:val="0"/>
        <w:autoSpaceDN w:val="0"/>
        <w:adjustRightInd w:val="0"/>
        <w:spacing w:after="0"/>
        <w:jc w:val="both"/>
        <w:rPr>
          <w:rFonts w:ascii="Times New Roman" w:eastAsia="Arial" w:hAnsi="Times New Roman" w:cs="Times New Roman"/>
          <w:color w:val="000000"/>
        </w:rPr>
      </w:pPr>
      <w:r w:rsidRPr="00C4219F">
        <w:rPr>
          <w:rFonts w:ascii="Times New Roman" w:hAnsi="Times New Roman" w:cs="Times New Roman"/>
          <w:b/>
        </w:rPr>
        <w:lastRenderedPageBreak/>
        <w:t>Statements of Revenues and Expenses</w:t>
      </w:r>
      <w:r w:rsidRPr="00C4219F">
        <w:rPr>
          <w:rFonts w:ascii="Times New Roman" w:hAnsi="Times New Roman" w:cs="Times New Roman"/>
          <w:noProof/>
        </w:rPr>
        <w:t xml:space="preserve"> </w:t>
      </w:r>
      <w:r w:rsidR="006701D2">
        <w:rPr>
          <w:rFonts w:ascii="Times New Roman" w:hAnsi="Times New Roman" w:cs="Times New Roman"/>
          <w:noProof/>
        </w:rPr>
        <w:t xml:space="preserve">- </w:t>
      </w:r>
      <w:r w:rsidRPr="00C4219F">
        <w:rPr>
          <w:rFonts w:ascii="Times New Roman" w:eastAsia="Arial" w:hAnsi="Times New Roman" w:cs="Times New Roman"/>
          <w:color w:val="000000"/>
        </w:rPr>
        <w:t>The Statements of Revenues, Expenses, and Changes in Net Position present the results of operations of the Plan for the years ending December 31:</w:t>
      </w:r>
    </w:p>
    <w:p w:rsidR="006701D2" w:rsidRPr="006701D2" w:rsidRDefault="006701D2" w:rsidP="006701D2">
      <w:pPr>
        <w:autoSpaceDE w:val="0"/>
        <w:autoSpaceDN w:val="0"/>
        <w:adjustRightInd w:val="0"/>
        <w:spacing w:after="0"/>
        <w:jc w:val="both"/>
        <w:rPr>
          <w:rFonts w:ascii="Times New Roman" w:eastAsia="Arial" w:hAnsi="Times New Roman" w:cs="Times New Roman"/>
          <w:color w:val="000000"/>
          <w:sz w:val="8"/>
          <w:szCs w:val="8"/>
        </w:rPr>
      </w:pPr>
    </w:p>
    <w:tbl>
      <w:tblPr>
        <w:tblW w:w="5000" w:type="pct"/>
        <w:tblCellMar>
          <w:left w:w="0" w:type="dxa"/>
          <w:right w:w="0" w:type="dxa"/>
        </w:tblCellMar>
        <w:tblLook w:val="04A0" w:firstRow="1" w:lastRow="0" w:firstColumn="1" w:lastColumn="0" w:noHBand="0" w:noVBand="1"/>
      </w:tblPr>
      <w:tblGrid>
        <w:gridCol w:w="4566"/>
        <w:gridCol w:w="1882"/>
        <w:gridCol w:w="1645"/>
        <w:gridCol w:w="1537"/>
      </w:tblGrid>
      <w:tr w:rsidR="00075B9F" w:rsidRPr="00C4219F" w:rsidTr="00527E7A">
        <w:trPr>
          <w:trHeight w:hRule="exact" w:val="441"/>
        </w:trPr>
        <w:tc>
          <w:tcPr>
            <w:tcW w:w="2371" w:type="pct"/>
            <w:tcBorders>
              <w:top w:val="none" w:sz="0" w:space="0" w:color="000000"/>
              <w:left w:val="none" w:sz="0" w:space="0" w:color="000000"/>
              <w:bottom w:val="none" w:sz="0" w:space="0" w:color="000000"/>
              <w:right w:val="none" w:sz="0" w:space="0" w:color="000000"/>
            </w:tcBorders>
          </w:tcPr>
          <w:p w:rsidR="00527E7A" w:rsidRDefault="00075B9F" w:rsidP="006701D2">
            <w:pPr>
              <w:spacing w:before="103" w:after="216" w:line="240" w:lineRule="auto"/>
              <w:ind w:right="2522"/>
              <w:jc w:val="right"/>
              <w:textAlignment w:val="baseline"/>
              <w:rPr>
                <w:rFonts w:ascii="Arial" w:eastAsia="Arial" w:hAnsi="Arial"/>
                <w:b/>
                <w:i/>
                <w:color w:val="000000"/>
                <w:sz w:val="20"/>
              </w:rPr>
            </w:pPr>
            <w:r w:rsidRPr="00527E7A">
              <w:rPr>
                <w:rFonts w:ascii="Times New Roman" w:eastAsia="Arial" w:hAnsi="Times New Roman" w:cs="Times New Roman"/>
                <w:b/>
                <w:i/>
                <w:color w:val="000000"/>
              </w:rPr>
              <w:t>Revenue Overview</w:t>
            </w:r>
          </w:p>
          <w:p w:rsidR="00527E7A" w:rsidRDefault="00527E7A" w:rsidP="006701D2">
            <w:pPr>
              <w:spacing w:before="103" w:after="216" w:line="240" w:lineRule="auto"/>
              <w:ind w:right="2522"/>
              <w:jc w:val="right"/>
              <w:textAlignment w:val="baseline"/>
              <w:rPr>
                <w:rFonts w:ascii="Arial" w:eastAsia="Arial" w:hAnsi="Arial"/>
                <w:b/>
                <w:i/>
                <w:color w:val="000000"/>
                <w:sz w:val="20"/>
              </w:rPr>
            </w:pPr>
          </w:p>
          <w:p w:rsidR="00527E7A" w:rsidRPr="00C4219F" w:rsidRDefault="00527E7A" w:rsidP="006701D2">
            <w:pPr>
              <w:spacing w:before="103" w:after="216" w:line="240" w:lineRule="auto"/>
              <w:ind w:right="2522"/>
              <w:jc w:val="right"/>
              <w:textAlignment w:val="baseline"/>
              <w:rPr>
                <w:rFonts w:ascii="Arial" w:eastAsia="Arial" w:hAnsi="Arial"/>
                <w:b/>
                <w:i/>
                <w:color w:val="000000"/>
                <w:sz w:val="20"/>
              </w:rPr>
            </w:pPr>
          </w:p>
        </w:tc>
        <w:tc>
          <w:tcPr>
            <w:tcW w:w="977" w:type="pct"/>
            <w:tcBorders>
              <w:top w:val="none" w:sz="0" w:space="0" w:color="000000"/>
              <w:left w:val="none" w:sz="0" w:space="0" w:color="000000"/>
              <w:bottom w:val="none" w:sz="0" w:space="0" w:color="000000"/>
              <w:right w:val="none" w:sz="0" w:space="0" w:color="000000"/>
            </w:tcBorders>
          </w:tcPr>
          <w:p w:rsidR="00075B9F" w:rsidRPr="00C4219F" w:rsidRDefault="00075B9F" w:rsidP="006701D2">
            <w:pPr>
              <w:spacing w:line="240" w:lineRule="auto"/>
              <w:textAlignment w:val="baseline"/>
              <w:rPr>
                <w:rFonts w:ascii="Arial" w:eastAsia="Arial" w:hAnsi="Arial"/>
                <w:color w:val="000000"/>
                <w:sz w:val="24"/>
              </w:rPr>
            </w:pPr>
          </w:p>
        </w:tc>
        <w:tc>
          <w:tcPr>
            <w:tcW w:w="854" w:type="pct"/>
            <w:tcBorders>
              <w:top w:val="none" w:sz="0" w:space="0" w:color="000000"/>
              <w:left w:val="none" w:sz="0" w:space="0" w:color="000000"/>
              <w:bottom w:val="none" w:sz="0" w:space="0" w:color="000000"/>
              <w:right w:val="none" w:sz="0" w:space="0" w:color="000000"/>
            </w:tcBorders>
          </w:tcPr>
          <w:p w:rsidR="00075B9F" w:rsidRPr="00C4219F" w:rsidRDefault="00075B9F" w:rsidP="006701D2">
            <w:pPr>
              <w:spacing w:line="240" w:lineRule="auto"/>
              <w:textAlignment w:val="baseline"/>
              <w:rPr>
                <w:rFonts w:ascii="Arial" w:eastAsia="Arial" w:hAnsi="Arial"/>
                <w:color w:val="000000"/>
                <w:sz w:val="24"/>
              </w:rPr>
            </w:pPr>
          </w:p>
        </w:tc>
        <w:tc>
          <w:tcPr>
            <w:tcW w:w="798" w:type="pct"/>
            <w:tcBorders>
              <w:top w:val="none" w:sz="0" w:space="0" w:color="000000"/>
              <w:left w:val="none" w:sz="0" w:space="0" w:color="000000"/>
              <w:bottom w:val="none" w:sz="0" w:space="0" w:color="000000"/>
              <w:right w:val="none" w:sz="0" w:space="0" w:color="000000"/>
            </w:tcBorders>
          </w:tcPr>
          <w:p w:rsidR="00075B9F" w:rsidRPr="00C4219F" w:rsidRDefault="00075B9F" w:rsidP="006701D2">
            <w:pPr>
              <w:spacing w:line="240" w:lineRule="auto"/>
              <w:textAlignment w:val="baseline"/>
              <w:rPr>
                <w:rFonts w:ascii="Arial" w:eastAsia="Arial" w:hAnsi="Arial"/>
                <w:color w:val="000000"/>
                <w:sz w:val="24"/>
              </w:rPr>
            </w:pPr>
          </w:p>
        </w:tc>
      </w:tr>
      <w:tr w:rsidR="00075B9F" w:rsidRPr="00C4219F" w:rsidTr="00527E7A">
        <w:trPr>
          <w:trHeight w:hRule="exact" w:val="211"/>
        </w:trPr>
        <w:tc>
          <w:tcPr>
            <w:tcW w:w="2371" w:type="pct"/>
            <w:tcBorders>
              <w:top w:val="none" w:sz="0" w:space="0" w:color="000000"/>
              <w:left w:val="none" w:sz="0" w:space="0" w:color="000000"/>
              <w:bottom w:val="none" w:sz="0" w:space="0" w:color="000000"/>
              <w:right w:val="none" w:sz="0" w:space="0" w:color="000000"/>
            </w:tcBorders>
          </w:tcPr>
          <w:p w:rsidR="00075B9F" w:rsidRPr="00C4219F" w:rsidRDefault="00075B9F" w:rsidP="00036A4C">
            <w:pPr>
              <w:textAlignment w:val="baseline"/>
              <w:rPr>
                <w:rFonts w:ascii="Arial" w:eastAsia="Arial" w:hAnsi="Arial"/>
                <w:color w:val="000000"/>
                <w:sz w:val="24"/>
              </w:rPr>
            </w:pPr>
          </w:p>
        </w:tc>
        <w:tc>
          <w:tcPr>
            <w:tcW w:w="977" w:type="pct"/>
            <w:tcBorders>
              <w:top w:val="none" w:sz="0" w:space="0" w:color="000000"/>
              <w:left w:val="none" w:sz="0" w:space="0" w:color="000000"/>
              <w:bottom w:val="single" w:sz="5" w:space="0" w:color="000000"/>
              <w:right w:val="none" w:sz="0" w:space="0" w:color="000000"/>
            </w:tcBorders>
            <w:shd w:val="clear" w:color="800000" w:fill="800000"/>
            <w:vAlign w:val="center"/>
          </w:tcPr>
          <w:p w:rsidR="00075B9F" w:rsidRPr="00C4219F" w:rsidRDefault="00075B9F" w:rsidP="001A2895">
            <w:pPr>
              <w:spacing w:line="194" w:lineRule="exact"/>
              <w:ind w:right="395"/>
              <w:jc w:val="right"/>
              <w:textAlignment w:val="baseline"/>
              <w:rPr>
                <w:rFonts w:ascii="Arial" w:eastAsia="Arial" w:hAnsi="Arial"/>
                <w:color w:val="FFFFFF"/>
                <w:spacing w:val="-2"/>
                <w:sz w:val="20"/>
              </w:rPr>
            </w:pPr>
            <w:r w:rsidRPr="00C4219F">
              <w:rPr>
                <w:rFonts w:ascii="Arial" w:eastAsia="Arial" w:hAnsi="Arial"/>
                <w:color w:val="FFFFFF"/>
                <w:spacing w:val="-2"/>
                <w:sz w:val="20"/>
              </w:rPr>
              <w:t>201</w:t>
            </w:r>
            <w:r w:rsidR="001A2895">
              <w:rPr>
                <w:rFonts w:ascii="Arial" w:eastAsia="Arial" w:hAnsi="Arial"/>
                <w:color w:val="FFFFFF"/>
                <w:spacing w:val="-2"/>
                <w:sz w:val="20"/>
              </w:rPr>
              <w:t>5</w:t>
            </w:r>
          </w:p>
        </w:tc>
        <w:tc>
          <w:tcPr>
            <w:tcW w:w="854" w:type="pct"/>
            <w:tcBorders>
              <w:top w:val="none" w:sz="0" w:space="0" w:color="000000"/>
              <w:left w:val="none" w:sz="0" w:space="0" w:color="000000"/>
              <w:bottom w:val="single" w:sz="5" w:space="0" w:color="000000"/>
              <w:right w:val="none" w:sz="0" w:space="0" w:color="000000"/>
            </w:tcBorders>
            <w:shd w:val="clear" w:color="C0C0C0" w:fill="C0C0C0"/>
            <w:vAlign w:val="center"/>
          </w:tcPr>
          <w:p w:rsidR="00075B9F" w:rsidRPr="00C4219F" w:rsidRDefault="00075B9F" w:rsidP="001A2895">
            <w:pPr>
              <w:spacing w:line="194" w:lineRule="exact"/>
              <w:ind w:right="480"/>
              <w:jc w:val="right"/>
              <w:textAlignment w:val="baseline"/>
              <w:rPr>
                <w:rFonts w:ascii="Arial" w:eastAsia="Arial" w:hAnsi="Arial"/>
                <w:color w:val="000000"/>
                <w:spacing w:val="-3"/>
                <w:sz w:val="20"/>
              </w:rPr>
            </w:pPr>
            <w:r w:rsidRPr="00C4219F">
              <w:rPr>
                <w:rFonts w:ascii="Arial" w:eastAsia="Arial" w:hAnsi="Arial"/>
                <w:color w:val="000000"/>
                <w:spacing w:val="-3"/>
                <w:sz w:val="20"/>
              </w:rPr>
              <w:t>201</w:t>
            </w:r>
            <w:r w:rsidR="001A2895">
              <w:rPr>
                <w:rFonts w:ascii="Arial" w:eastAsia="Arial" w:hAnsi="Arial"/>
                <w:color w:val="000000"/>
                <w:spacing w:val="-3"/>
                <w:sz w:val="20"/>
              </w:rPr>
              <w:t>4</w:t>
            </w:r>
          </w:p>
        </w:tc>
        <w:tc>
          <w:tcPr>
            <w:tcW w:w="798" w:type="pct"/>
            <w:tcBorders>
              <w:top w:val="none" w:sz="0" w:space="0" w:color="000000"/>
              <w:left w:val="none" w:sz="0" w:space="0" w:color="000000"/>
              <w:bottom w:val="single" w:sz="5" w:space="0" w:color="000000"/>
              <w:right w:val="none" w:sz="0" w:space="0" w:color="000000"/>
            </w:tcBorders>
            <w:shd w:val="clear" w:color="C0C0C0" w:fill="C0C0C0"/>
            <w:vAlign w:val="center"/>
          </w:tcPr>
          <w:p w:rsidR="00075B9F" w:rsidRPr="00C4219F" w:rsidRDefault="001A2895" w:rsidP="00036A4C">
            <w:pPr>
              <w:spacing w:line="194" w:lineRule="exact"/>
              <w:ind w:right="376"/>
              <w:jc w:val="right"/>
              <w:textAlignment w:val="baseline"/>
              <w:rPr>
                <w:rFonts w:ascii="Arial" w:eastAsia="Arial" w:hAnsi="Arial"/>
                <w:color w:val="000000"/>
                <w:spacing w:val="-3"/>
                <w:sz w:val="20"/>
              </w:rPr>
            </w:pPr>
            <w:r>
              <w:rPr>
                <w:rFonts w:ascii="Arial" w:eastAsia="Arial" w:hAnsi="Arial"/>
                <w:color w:val="000000"/>
                <w:spacing w:val="-3"/>
                <w:sz w:val="20"/>
              </w:rPr>
              <w:t>2013</w:t>
            </w:r>
          </w:p>
        </w:tc>
      </w:tr>
      <w:tr w:rsidR="00075B9F" w:rsidRPr="00C4219F" w:rsidTr="00527E7A">
        <w:trPr>
          <w:trHeight w:hRule="exact" w:val="254"/>
        </w:trPr>
        <w:tc>
          <w:tcPr>
            <w:tcW w:w="2371" w:type="pct"/>
            <w:tcBorders>
              <w:top w:val="none" w:sz="0" w:space="0" w:color="000000"/>
              <w:left w:val="none" w:sz="0" w:space="0" w:color="000000"/>
              <w:bottom w:val="none" w:sz="0" w:space="0" w:color="000000"/>
              <w:right w:val="none" w:sz="0" w:space="0" w:color="000000"/>
            </w:tcBorders>
            <w:vAlign w:val="center"/>
          </w:tcPr>
          <w:p w:rsidR="00075B9F" w:rsidRPr="00C4219F" w:rsidRDefault="00075B9F" w:rsidP="00036A4C">
            <w:pPr>
              <w:spacing w:after="5" w:line="218" w:lineRule="exact"/>
              <w:ind w:left="656"/>
              <w:textAlignment w:val="baseline"/>
              <w:rPr>
                <w:rFonts w:ascii="Arial" w:eastAsia="Arial" w:hAnsi="Arial"/>
                <w:color w:val="000000"/>
                <w:spacing w:val="-1"/>
                <w:sz w:val="20"/>
              </w:rPr>
            </w:pPr>
            <w:r w:rsidRPr="00C4219F">
              <w:rPr>
                <w:rFonts w:ascii="Arial" w:eastAsia="Arial" w:hAnsi="Arial"/>
                <w:color w:val="000000"/>
                <w:spacing w:val="-1"/>
                <w:sz w:val="20"/>
              </w:rPr>
              <w:t>Premiums</w:t>
            </w:r>
          </w:p>
        </w:tc>
        <w:tc>
          <w:tcPr>
            <w:tcW w:w="977" w:type="pct"/>
            <w:tcBorders>
              <w:top w:val="single" w:sz="5" w:space="0" w:color="000000"/>
              <w:left w:val="none" w:sz="0" w:space="0" w:color="000000"/>
              <w:bottom w:val="none" w:sz="0" w:space="0" w:color="000000"/>
              <w:right w:val="none" w:sz="0" w:space="0" w:color="000000"/>
            </w:tcBorders>
            <w:vAlign w:val="center"/>
          </w:tcPr>
          <w:p w:rsidR="00075B9F" w:rsidRPr="00C4219F" w:rsidRDefault="00075B9F" w:rsidP="001A2895">
            <w:pPr>
              <w:tabs>
                <w:tab w:val="right" w:pos="1728"/>
              </w:tabs>
              <w:spacing w:after="5" w:line="218" w:lineRule="exact"/>
              <w:ind w:right="125"/>
              <w:jc w:val="right"/>
              <w:textAlignment w:val="baseline"/>
              <w:rPr>
                <w:rFonts w:ascii="Arial" w:eastAsia="Arial" w:hAnsi="Arial"/>
                <w:color w:val="000000"/>
                <w:sz w:val="20"/>
              </w:rPr>
            </w:pPr>
            <w:r w:rsidRPr="00C4219F">
              <w:rPr>
                <w:rFonts w:ascii="Arial" w:eastAsia="Arial" w:hAnsi="Arial"/>
                <w:color w:val="000000"/>
                <w:sz w:val="20"/>
              </w:rPr>
              <w:t>$</w:t>
            </w:r>
            <w:r w:rsidRPr="00C4219F">
              <w:rPr>
                <w:rFonts w:ascii="Arial" w:eastAsia="Arial" w:hAnsi="Arial"/>
                <w:color w:val="000000"/>
                <w:sz w:val="20"/>
              </w:rPr>
              <w:tab/>
            </w:r>
            <w:r w:rsidR="001A2895">
              <w:rPr>
                <w:rFonts w:ascii="Arial" w:eastAsia="Arial" w:hAnsi="Arial"/>
                <w:color w:val="000000"/>
                <w:sz w:val="20"/>
              </w:rPr>
              <w:t>37,587,353</w:t>
            </w:r>
          </w:p>
        </w:tc>
        <w:tc>
          <w:tcPr>
            <w:tcW w:w="854" w:type="pct"/>
            <w:tcBorders>
              <w:top w:val="single" w:sz="5" w:space="0" w:color="000000"/>
              <w:left w:val="none" w:sz="0" w:space="0" w:color="000000"/>
              <w:bottom w:val="none" w:sz="0" w:space="0" w:color="000000"/>
              <w:right w:val="none" w:sz="0" w:space="0" w:color="000000"/>
            </w:tcBorders>
            <w:vAlign w:val="center"/>
          </w:tcPr>
          <w:p w:rsidR="00075B9F" w:rsidRPr="00C4219F" w:rsidRDefault="00075B9F" w:rsidP="001A2895">
            <w:pPr>
              <w:tabs>
                <w:tab w:val="right" w:pos="1512"/>
              </w:tabs>
              <w:spacing w:after="5" w:line="218" w:lineRule="exact"/>
              <w:ind w:right="120"/>
              <w:jc w:val="right"/>
              <w:textAlignment w:val="baseline"/>
              <w:rPr>
                <w:rFonts w:ascii="Arial" w:eastAsia="Arial" w:hAnsi="Arial"/>
                <w:color w:val="000000"/>
                <w:sz w:val="20"/>
              </w:rPr>
            </w:pPr>
            <w:r w:rsidRPr="00C4219F">
              <w:rPr>
                <w:rFonts w:ascii="Arial" w:eastAsia="Arial" w:hAnsi="Arial"/>
                <w:color w:val="000000"/>
                <w:sz w:val="20"/>
              </w:rPr>
              <w:t>$</w:t>
            </w:r>
            <w:r w:rsidRPr="00C4219F">
              <w:rPr>
                <w:rFonts w:ascii="Arial" w:eastAsia="Arial" w:hAnsi="Arial"/>
                <w:color w:val="000000"/>
                <w:sz w:val="20"/>
              </w:rPr>
              <w:tab/>
            </w:r>
            <w:r w:rsidR="001A2895">
              <w:rPr>
                <w:rFonts w:ascii="Arial" w:eastAsia="Arial" w:hAnsi="Arial"/>
                <w:color w:val="000000"/>
                <w:sz w:val="20"/>
              </w:rPr>
              <w:t>36,036,291</w:t>
            </w:r>
          </w:p>
        </w:tc>
        <w:tc>
          <w:tcPr>
            <w:tcW w:w="798" w:type="pct"/>
            <w:tcBorders>
              <w:top w:val="single" w:sz="5" w:space="0" w:color="000000"/>
              <w:left w:val="none" w:sz="0" w:space="0" w:color="000000"/>
              <w:bottom w:val="none" w:sz="0" w:space="0" w:color="000000"/>
              <w:right w:val="none" w:sz="0" w:space="0" w:color="000000"/>
            </w:tcBorders>
            <w:vAlign w:val="center"/>
          </w:tcPr>
          <w:p w:rsidR="00075B9F" w:rsidRPr="00C4219F" w:rsidRDefault="00075B9F" w:rsidP="001A2895">
            <w:pPr>
              <w:tabs>
                <w:tab w:val="right" w:pos="1368"/>
              </w:tabs>
              <w:spacing w:after="5" w:line="218" w:lineRule="exact"/>
              <w:ind w:right="106"/>
              <w:jc w:val="right"/>
              <w:textAlignment w:val="baseline"/>
              <w:rPr>
                <w:rFonts w:ascii="Arial" w:eastAsia="Arial" w:hAnsi="Arial"/>
                <w:color w:val="000000"/>
                <w:sz w:val="20"/>
              </w:rPr>
            </w:pPr>
            <w:r w:rsidRPr="00C4219F">
              <w:rPr>
                <w:rFonts w:ascii="Arial" w:eastAsia="Arial" w:hAnsi="Arial"/>
                <w:color w:val="000000"/>
                <w:sz w:val="20"/>
              </w:rPr>
              <w:t>$</w:t>
            </w:r>
            <w:r w:rsidRPr="00C4219F">
              <w:rPr>
                <w:rFonts w:ascii="Arial" w:eastAsia="Arial" w:hAnsi="Arial"/>
                <w:color w:val="000000"/>
                <w:sz w:val="20"/>
              </w:rPr>
              <w:tab/>
            </w:r>
            <w:r w:rsidR="001A2895">
              <w:rPr>
                <w:rFonts w:ascii="Arial" w:eastAsia="Arial" w:hAnsi="Arial"/>
                <w:color w:val="000000"/>
                <w:sz w:val="20"/>
              </w:rPr>
              <w:t>34,507,670</w:t>
            </w:r>
          </w:p>
        </w:tc>
      </w:tr>
      <w:tr w:rsidR="00075B9F" w:rsidRPr="00C4219F" w:rsidTr="00527E7A">
        <w:trPr>
          <w:trHeight w:hRule="exact" w:val="240"/>
        </w:trPr>
        <w:tc>
          <w:tcPr>
            <w:tcW w:w="2371" w:type="pct"/>
            <w:tcBorders>
              <w:top w:val="none" w:sz="0" w:space="0" w:color="000000"/>
              <w:left w:val="none" w:sz="0" w:space="0" w:color="000000"/>
              <w:bottom w:val="none" w:sz="0" w:space="0" w:color="000000"/>
              <w:right w:val="none" w:sz="0" w:space="0" w:color="000000"/>
            </w:tcBorders>
            <w:vAlign w:val="center"/>
          </w:tcPr>
          <w:p w:rsidR="00075B9F" w:rsidRPr="00C4219F" w:rsidRDefault="00075B9F" w:rsidP="00036A4C">
            <w:pPr>
              <w:spacing w:after="9" w:line="226" w:lineRule="exact"/>
              <w:ind w:left="656"/>
              <w:textAlignment w:val="baseline"/>
              <w:rPr>
                <w:rFonts w:ascii="Arial" w:eastAsia="Arial" w:hAnsi="Arial"/>
                <w:color w:val="000000"/>
                <w:sz w:val="20"/>
              </w:rPr>
            </w:pPr>
            <w:r w:rsidRPr="00C4219F">
              <w:rPr>
                <w:rFonts w:ascii="Arial" w:eastAsia="Arial" w:hAnsi="Arial"/>
                <w:color w:val="000000"/>
                <w:sz w:val="20"/>
              </w:rPr>
              <w:t>Aggregate write-ins for other revenues</w:t>
            </w:r>
          </w:p>
        </w:tc>
        <w:tc>
          <w:tcPr>
            <w:tcW w:w="977" w:type="pct"/>
            <w:tcBorders>
              <w:top w:val="none" w:sz="0" w:space="0" w:color="000000"/>
              <w:left w:val="none" w:sz="0" w:space="0" w:color="000000"/>
              <w:bottom w:val="none" w:sz="0" w:space="0" w:color="000000"/>
              <w:right w:val="none" w:sz="0" w:space="0" w:color="000000"/>
            </w:tcBorders>
            <w:vAlign w:val="center"/>
          </w:tcPr>
          <w:p w:rsidR="00075B9F" w:rsidRPr="00C4219F" w:rsidRDefault="001A2895" w:rsidP="00036A4C">
            <w:pPr>
              <w:spacing w:after="19" w:line="216" w:lineRule="exact"/>
              <w:ind w:right="125"/>
              <w:jc w:val="right"/>
              <w:textAlignment w:val="baseline"/>
              <w:rPr>
                <w:rFonts w:ascii="Arial" w:eastAsia="Arial" w:hAnsi="Arial"/>
                <w:color w:val="000000"/>
                <w:spacing w:val="-3"/>
                <w:sz w:val="20"/>
              </w:rPr>
            </w:pPr>
            <w:r>
              <w:rPr>
                <w:rFonts w:ascii="Arial" w:eastAsia="Arial" w:hAnsi="Arial"/>
                <w:color w:val="000000"/>
                <w:spacing w:val="-3"/>
                <w:sz w:val="20"/>
              </w:rPr>
              <w:t>128,523</w:t>
            </w:r>
          </w:p>
        </w:tc>
        <w:tc>
          <w:tcPr>
            <w:tcW w:w="854" w:type="pct"/>
            <w:tcBorders>
              <w:top w:val="none" w:sz="0" w:space="0" w:color="000000"/>
              <w:left w:val="none" w:sz="0" w:space="0" w:color="000000"/>
              <w:bottom w:val="none" w:sz="0" w:space="0" w:color="000000"/>
              <w:right w:val="none" w:sz="0" w:space="0" w:color="000000"/>
            </w:tcBorders>
            <w:vAlign w:val="center"/>
          </w:tcPr>
          <w:p w:rsidR="00075B9F" w:rsidRPr="00C4219F" w:rsidRDefault="001A2895" w:rsidP="00036A4C">
            <w:pPr>
              <w:spacing w:after="19" w:line="216" w:lineRule="exact"/>
              <w:ind w:right="120"/>
              <w:jc w:val="right"/>
              <w:textAlignment w:val="baseline"/>
              <w:rPr>
                <w:rFonts w:ascii="Arial" w:eastAsia="Arial" w:hAnsi="Arial"/>
                <w:color w:val="000000"/>
                <w:spacing w:val="-2"/>
                <w:sz w:val="20"/>
              </w:rPr>
            </w:pPr>
            <w:r>
              <w:rPr>
                <w:rFonts w:ascii="Arial" w:eastAsia="Arial" w:hAnsi="Arial"/>
                <w:color w:val="000000"/>
                <w:spacing w:val="-2"/>
                <w:sz w:val="20"/>
              </w:rPr>
              <w:t>134,659</w:t>
            </w:r>
          </w:p>
        </w:tc>
        <w:tc>
          <w:tcPr>
            <w:tcW w:w="798" w:type="pct"/>
            <w:tcBorders>
              <w:top w:val="none" w:sz="0" w:space="0" w:color="000000"/>
              <w:left w:val="none" w:sz="0" w:space="0" w:color="000000"/>
              <w:bottom w:val="none" w:sz="0" w:space="0" w:color="000000"/>
              <w:right w:val="none" w:sz="0" w:space="0" w:color="000000"/>
            </w:tcBorders>
            <w:vAlign w:val="center"/>
          </w:tcPr>
          <w:p w:rsidR="00075B9F" w:rsidRPr="00C4219F" w:rsidRDefault="00075B9F" w:rsidP="001A2895">
            <w:pPr>
              <w:spacing w:after="19" w:line="216" w:lineRule="exact"/>
              <w:ind w:right="106"/>
              <w:jc w:val="right"/>
              <w:textAlignment w:val="baseline"/>
              <w:rPr>
                <w:rFonts w:ascii="Arial" w:eastAsia="Arial" w:hAnsi="Arial"/>
                <w:color w:val="000000"/>
                <w:spacing w:val="-4"/>
                <w:sz w:val="20"/>
              </w:rPr>
            </w:pPr>
            <w:r w:rsidRPr="00C4219F">
              <w:rPr>
                <w:rFonts w:ascii="Arial" w:eastAsia="Arial" w:hAnsi="Arial"/>
                <w:color w:val="000000"/>
                <w:spacing w:val="-4"/>
                <w:sz w:val="20"/>
              </w:rPr>
              <w:t>1</w:t>
            </w:r>
            <w:r w:rsidR="001A2895">
              <w:rPr>
                <w:rFonts w:ascii="Arial" w:eastAsia="Arial" w:hAnsi="Arial"/>
                <w:color w:val="000000"/>
                <w:spacing w:val="-4"/>
                <w:sz w:val="20"/>
              </w:rPr>
              <w:t>4</w:t>
            </w:r>
            <w:r w:rsidRPr="00C4219F">
              <w:rPr>
                <w:rFonts w:ascii="Arial" w:eastAsia="Arial" w:hAnsi="Arial"/>
                <w:color w:val="000000"/>
                <w:spacing w:val="-4"/>
                <w:sz w:val="20"/>
              </w:rPr>
              <w:t>5,</w:t>
            </w:r>
            <w:r w:rsidR="001A2895">
              <w:rPr>
                <w:rFonts w:ascii="Arial" w:eastAsia="Arial" w:hAnsi="Arial"/>
                <w:color w:val="000000"/>
                <w:spacing w:val="-4"/>
                <w:sz w:val="20"/>
              </w:rPr>
              <w:t>563</w:t>
            </w:r>
          </w:p>
        </w:tc>
      </w:tr>
      <w:tr w:rsidR="00075B9F" w:rsidRPr="00C4219F" w:rsidTr="00527E7A">
        <w:trPr>
          <w:trHeight w:hRule="exact" w:val="221"/>
        </w:trPr>
        <w:tc>
          <w:tcPr>
            <w:tcW w:w="2371" w:type="pct"/>
            <w:tcBorders>
              <w:top w:val="none" w:sz="0" w:space="0" w:color="000000"/>
              <w:left w:val="none" w:sz="0" w:space="0" w:color="000000"/>
              <w:bottom w:val="none" w:sz="0" w:space="0" w:color="000000"/>
              <w:right w:val="none" w:sz="0" w:space="0" w:color="000000"/>
            </w:tcBorders>
            <w:vAlign w:val="center"/>
          </w:tcPr>
          <w:p w:rsidR="00075B9F" w:rsidRPr="00C4219F" w:rsidRDefault="00075B9F" w:rsidP="00036A4C">
            <w:pPr>
              <w:spacing w:line="211" w:lineRule="exact"/>
              <w:ind w:left="656"/>
              <w:textAlignment w:val="baseline"/>
              <w:rPr>
                <w:rFonts w:ascii="Arial" w:eastAsia="Arial" w:hAnsi="Arial"/>
                <w:color w:val="000000"/>
                <w:sz w:val="20"/>
              </w:rPr>
            </w:pPr>
            <w:r w:rsidRPr="00C4219F">
              <w:rPr>
                <w:rFonts w:ascii="Arial" w:eastAsia="Arial" w:hAnsi="Arial"/>
                <w:color w:val="000000"/>
                <w:sz w:val="20"/>
              </w:rPr>
              <w:t>Interest earnings</w:t>
            </w:r>
          </w:p>
        </w:tc>
        <w:tc>
          <w:tcPr>
            <w:tcW w:w="977" w:type="pct"/>
            <w:tcBorders>
              <w:top w:val="none" w:sz="0" w:space="0" w:color="000000"/>
              <w:left w:val="none" w:sz="0" w:space="0" w:color="000000"/>
              <w:bottom w:val="single" w:sz="5" w:space="0" w:color="000000"/>
              <w:right w:val="none" w:sz="0" w:space="0" w:color="000000"/>
            </w:tcBorders>
            <w:vAlign w:val="center"/>
          </w:tcPr>
          <w:p w:rsidR="00075B9F" w:rsidRPr="00C4219F" w:rsidRDefault="001A2895" w:rsidP="00036A4C">
            <w:pPr>
              <w:spacing w:after="4" w:line="207" w:lineRule="exact"/>
              <w:ind w:right="125"/>
              <w:jc w:val="right"/>
              <w:textAlignment w:val="baseline"/>
              <w:rPr>
                <w:rFonts w:ascii="Arial" w:eastAsia="Arial" w:hAnsi="Arial"/>
                <w:color w:val="000000"/>
                <w:spacing w:val="-7"/>
                <w:sz w:val="20"/>
              </w:rPr>
            </w:pPr>
            <w:r>
              <w:rPr>
                <w:rFonts w:ascii="Arial" w:eastAsia="Arial" w:hAnsi="Arial"/>
                <w:color w:val="000000"/>
                <w:spacing w:val="-7"/>
                <w:sz w:val="20"/>
              </w:rPr>
              <w:t>13,526</w:t>
            </w:r>
          </w:p>
        </w:tc>
        <w:tc>
          <w:tcPr>
            <w:tcW w:w="854" w:type="pct"/>
            <w:tcBorders>
              <w:top w:val="none" w:sz="0" w:space="0" w:color="000000"/>
              <w:left w:val="none" w:sz="0" w:space="0" w:color="000000"/>
              <w:bottom w:val="single" w:sz="5" w:space="0" w:color="000000"/>
              <w:right w:val="none" w:sz="0" w:space="0" w:color="000000"/>
            </w:tcBorders>
            <w:vAlign w:val="center"/>
          </w:tcPr>
          <w:p w:rsidR="00075B9F" w:rsidRPr="00C4219F" w:rsidRDefault="001A2895" w:rsidP="00036A4C">
            <w:pPr>
              <w:spacing w:after="4" w:line="207" w:lineRule="exact"/>
              <w:ind w:right="120"/>
              <w:jc w:val="right"/>
              <w:textAlignment w:val="baseline"/>
              <w:rPr>
                <w:rFonts w:ascii="Arial" w:eastAsia="Arial" w:hAnsi="Arial"/>
                <w:color w:val="000000"/>
                <w:spacing w:val="-6"/>
                <w:sz w:val="20"/>
              </w:rPr>
            </w:pPr>
            <w:r>
              <w:rPr>
                <w:rFonts w:ascii="Arial" w:eastAsia="Arial" w:hAnsi="Arial"/>
                <w:color w:val="000000"/>
                <w:spacing w:val="-6"/>
                <w:sz w:val="20"/>
              </w:rPr>
              <w:t>12,641</w:t>
            </w:r>
          </w:p>
        </w:tc>
        <w:tc>
          <w:tcPr>
            <w:tcW w:w="798" w:type="pct"/>
            <w:tcBorders>
              <w:top w:val="none" w:sz="0" w:space="0" w:color="000000"/>
              <w:left w:val="none" w:sz="0" w:space="0" w:color="000000"/>
              <w:bottom w:val="single" w:sz="5" w:space="0" w:color="000000"/>
              <w:right w:val="none" w:sz="0" w:space="0" w:color="000000"/>
            </w:tcBorders>
            <w:vAlign w:val="center"/>
          </w:tcPr>
          <w:p w:rsidR="00075B9F" w:rsidRPr="00C4219F" w:rsidRDefault="001A2895" w:rsidP="00036A4C">
            <w:pPr>
              <w:spacing w:after="4" w:line="207" w:lineRule="exact"/>
              <w:ind w:right="106"/>
              <w:jc w:val="right"/>
              <w:textAlignment w:val="baseline"/>
              <w:rPr>
                <w:rFonts w:ascii="Arial" w:eastAsia="Arial" w:hAnsi="Arial"/>
                <w:color w:val="000000"/>
                <w:spacing w:val="-3"/>
                <w:sz w:val="20"/>
              </w:rPr>
            </w:pPr>
            <w:r>
              <w:rPr>
                <w:rFonts w:ascii="Arial" w:eastAsia="Arial" w:hAnsi="Arial"/>
                <w:color w:val="000000"/>
                <w:spacing w:val="-3"/>
                <w:sz w:val="20"/>
              </w:rPr>
              <w:t>9,871</w:t>
            </w:r>
          </w:p>
        </w:tc>
      </w:tr>
      <w:tr w:rsidR="00075B9F" w:rsidRPr="00C4219F" w:rsidTr="00527E7A">
        <w:trPr>
          <w:trHeight w:hRule="exact" w:val="485"/>
        </w:trPr>
        <w:tc>
          <w:tcPr>
            <w:tcW w:w="2371" w:type="pct"/>
            <w:tcBorders>
              <w:top w:val="none" w:sz="0" w:space="0" w:color="000000"/>
              <w:left w:val="none" w:sz="0" w:space="0" w:color="000000"/>
              <w:bottom w:val="none" w:sz="0" w:space="0" w:color="000000"/>
              <w:right w:val="none" w:sz="0" w:space="0" w:color="000000"/>
            </w:tcBorders>
            <w:vAlign w:val="bottom"/>
          </w:tcPr>
          <w:p w:rsidR="00075B9F" w:rsidRPr="00C4219F" w:rsidRDefault="00075B9F" w:rsidP="006701D2">
            <w:pPr>
              <w:spacing w:before="238" w:after="24" w:line="240" w:lineRule="auto"/>
              <w:ind w:right="2252"/>
              <w:jc w:val="right"/>
              <w:textAlignment w:val="baseline"/>
              <w:rPr>
                <w:rFonts w:ascii="Arial" w:eastAsia="Arial" w:hAnsi="Arial"/>
                <w:color w:val="000000"/>
                <w:sz w:val="20"/>
              </w:rPr>
            </w:pPr>
            <w:r w:rsidRPr="00C4219F">
              <w:rPr>
                <w:rFonts w:ascii="Arial" w:eastAsia="Arial" w:hAnsi="Arial"/>
                <w:color w:val="000000"/>
                <w:sz w:val="20"/>
              </w:rPr>
              <w:t>Total Revenues</w:t>
            </w:r>
          </w:p>
        </w:tc>
        <w:tc>
          <w:tcPr>
            <w:tcW w:w="977" w:type="pct"/>
            <w:tcBorders>
              <w:top w:val="single" w:sz="5" w:space="0" w:color="000000"/>
              <w:left w:val="none" w:sz="0" w:space="0" w:color="000000"/>
              <w:bottom w:val="double" w:sz="7" w:space="0" w:color="000000"/>
              <w:right w:val="none" w:sz="0" w:space="0" w:color="000000"/>
            </w:tcBorders>
            <w:vAlign w:val="bottom"/>
          </w:tcPr>
          <w:p w:rsidR="00075B9F" w:rsidRPr="00C4219F" w:rsidRDefault="00075B9F" w:rsidP="001A2895">
            <w:pPr>
              <w:tabs>
                <w:tab w:val="right" w:pos="1728"/>
              </w:tabs>
              <w:spacing w:before="238" w:after="24" w:line="240" w:lineRule="auto"/>
              <w:ind w:right="125"/>
              <w:jc w:val="right"/>
              <w:textAlignment w:val="baseline"/>
              <w:rPr>
                <w:rFonts w:ascii="Arial" w:eastAsia="Arial" w:hAnsi="Arial"/>
                <w:color w:val="000000"/>
                <w:sz w:val="20"/>
              </w:rPr>
            </w:pPr>
            <w:r w:rsidRPr="00C4219F">
              <w:rPr>
                <w:rFonts w:ascii="Arial" w:eastAsia="Arial" w:hAnsi="Arial"/>
                <w:color w:val="000000"/>
                <w:sz w:val="20"/>
              </w:rPr>
              <w:t>$</w:t>
            </w:r>
            <w:r w:rsidRPr="00C4219F">
              <w:rPr>
                <w:rFonts w:ascii="Arial" w:eastAsia="Arial" w:hAnsi="Arial"/>
                <w:color w:val="000000"/>
                <w:sz w:val="20"/>
              </w:rPr>
              <w:tab/>
            </w:r>
            <w:r w:rsidR="001A2895">
              <w:rPr>
                <w:rFonts w:ascii="Arial" w:eastAsia="Arial" w:hAnsi="Arial"/>
                <w:color w:val="000000"/>
                <w:sz w:val="20"/>
              </w:rPr>
              <w:t>37,729,402</w:t>
            </w:r>
          </w:p>
        </w:tc>
        <w:tc>
          <w:tcPr>
            <w:tcW w:w="854" w:type="pct"/>
            <w:tcBorders>
              <w:top w:val="single" w:sz="5" w:space="0" w:color="000000"/>
              <w:left w:val="none" w:sz="0" w:space="0" w:color="000000"/>
              <w:bottom w:val="double" w:sz="7" w:space="0" w:color="000000"/>
              <w:right w:val="none" w:sz="0" w:space="0" w:color="000000"/>
            </w:tcBorders>
            <w:vAlign w:val="bottom"/>
          </w:tcPr>
          <w:p w:rsidR="00075B9F" w:rsidRPr="00C4219F" w:rsidRDefault="001A2895" w:rsidP="006701D2">
            <w:pPr>
              <w:tabs>
                <w:tab w:val="right" w:pos="1512"/>
              </w:tabs>
              <w:spacing w:before="238" w:after="24" w:line="240" w:lineRule="auto"/>
              <w:ind w:right="120"/>
              <w:jc w:val="right"/>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36,210,591</w:t>
            </w:r>
          </w:p>
        </w:tc>
        <w:tc>
          <w:tcPr>
            <w:tcW w:w="798" w:type="pct"/>
            <w:tcBorders>
              <w:top w:val="single" w:sz="5" w:space="0" w:color="000000"/>
              <w:left w:val="none" w:sz="0" w:space="0" w:color="000000"/>
              <w:bottom w:val="double" w:sz="7" w:space="0" w:color="000000"/>
              <w:right w:val="none" w:sz="0" w:space="0" w:color="000000"/>
            </w:tcBorders>
            <w:vAlign w:val="bottom"/>
          </w:tcPr>
          <w:p w:rsidR="00075B9F" w:rsidRPr="00C4219F" w:rsidRDefault="001A2895" w:rsidP="006701D2">
            <w:pPr>
              <w:tabs>
                <w:tab w:val="right" w:pos="1440"/>
              </w:tabs>
              <w:spacing w:before="238" w:after="24" w:line="240" w:lineRule="auto"/>
              <w:ind w:right="106"/>
              <w:jc w:val="right"/>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34,664,104</w:t>
            </w:r>
          </w:p>
        </w:tc>
      </w:tr>
    </w:tbl>
    <w:p w:rsidR="00BF5A32" w:rsidRDefault="00BF5A32" w:rsidP="00BF5A32">
      <w:pPr>
        <w:spacing w:after="0" w:line="240" w:lineRule="auto"/>
        <w:ind w:left="72"/>
        <w:jc w:val="center"/>
        <w:textAlignment w:val="baseline"/>
        <w:rPr>
          <w:rFonts w:ascii="Times New Roman" w:eastAsia="Arial" w:hAnsi="Times New Roman" w:cs="Times New Roman"/>
          <w:b/>
          <w:color w:val="000000"/>
        </w:rPr>
      </w:pPr>
    </w:p>
    <w:p w:rsidR="00BF5A32" w:rsidRDefault="00BF5A32" w:rsidP="00BF5A32">
      <w:pPr>
        <w:spacing w:after="0" w:line="240" w:lineRule="auto"/>
        <w:ind w:left="72"/>
        <w:jc w:val="center"/>
        <w:textAlignment w:val="baseline"/>
        <w:rPr>
          <w:rFonts w:ascii="Times New Roman" w:eastAsia="Arial" w:hAnsi="Times New Roman" w:cs="Times New Roman"/>
          <w:b/>
          <w:color w:val="000000"/>
        </w:rPr>
      </w:pPr>
    </w:p>
    <w:p w:rsidR="00DE52F5" w:rsidRDefault="00673D42" w:rsidP="00D34A8C">
      <w:pPr>
        <w:autoSpaceDE w:val="0"/>
        <w:autoSpaceDN w:val="0"/>
        <w:adjustRightInd w:val="0"/>
        <w:spacing w:after="0"/>
        <w:jc w:val="center"/>
        <w:rPr>
          <w:rFonts w:ascii="Times New Roman" w:hAnsi="Times New Roman" w:cs="Times New Roman"/>
          <w:b/>
          <w:sz w:val="24"/>
          <w:szCs w:val="24"/>
        </w:rPr>
      </w:pPr>
      <w:r>
        <w:rPr>
          <w:noProof/>
        </w:rPr>
        <w:drawing>
          <wp:inline distT="0" distB="0" distL="0" distR="0" wp14:anchorId="78611D6D" wp14:editId="54251715">
            <wp:extent cx="6115050" cy="4725035"/>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01D2" w:rsidRDefault="006701D2" w:rsidP="006701D2">
      <w:pPr>
        <w:spacing w:before="1" w:after="0" w:line="228" w:lineRule="exact"/>
        <w:ind w:right="-180"/>
        <w:textAlignment w:val="baseline"/>
        <w:rPr>
          <w:rFonts w:ascii="Times New Roman" w:eastAsia="Arial" w:hAnsi="Times New Roman" w:cs="Times New Roman"/>
          <w:b/>
          <w:i/>
          <w:color w:val="000000"/>
        </w:rPr>
      </w:pPr>
    </w:p>
    <w:p w:rsidR="0099671F" w:rsidRDefault="0099671F">
      <w:pPr>
        <w:rPr>
          <w:rFonts w:ascii="Times New Roman" w:eastAsia="Arial" w:hAnsi="Times New Roman" w:cs="Times New Roman"/>
          <w:b/>
          <w:i/>
          <w:color w:val="000000"/>
        </w:rPr>
      </w:pPr>
      <w:r>
        <w:rPr>
          <w:rFonts w:ascii="Times New Roman" w:eastAsia="Arial" w:hAnsi="Times New Roman" w:cs="Times New Roman"/>
          <w:b/>
          <w:i/>
          <w:color w:val="000000"/>
        </w:rPr>
        <w:br w:type="page"/>
      </w:r>
    </w:p>
    <w:p w:rsidR="00912412" w:rsidRPr="00C4219F" w:rsidRDefault="00527E7A" w:rsidP="006701D2">
      <w:pPr>
        <w:spacing w:before="1" w:after="0" w:line="228" w:lineRule="exact"/>
        <w:ind w:right="-180"/>
        <w:textAlignment w:val="baseline"/>
        <w:rPr>
          <w:rFonts w:ascii="Arial" w:eastAsia="Arial" w:hAnsi="Arial"/>
          <w:color w:val="000000"/>
          <w:sz w:val="20"/>
        </w:rPr>
      </w:pPr>
      <w:r w:rsidRPr="00527E7A">
        <w:rPr>
          <w:rFonts w:ascii="Times New Roman" w:eastAsia="Arial" w:hAnsi="Times New Roman" w:cs="Times New Roman"/>
          <w:b/>
          <w:i/>
          <w:color w:val="000000"/>
        </w:rPr>
        <w:lastRenderedPageBreak/>
        <w:t>Expense Overview</w:t>
      </w:r>
      <w:r w:rsidR="006701D2">
        <w:rPr>
          <w:rFonts w:ascii="Times New Roman" w:eastAsia="Arial" w:hAnsi="Times New Roman" w:cs="Times New Roman"/>
          <w:b/>
          <w:i/>
          <w:color w:val="000000"/>
        </w:rPr>
        <w:t xml:space="preserve"> - </w:t>
      </w:r>
      <w:r w:rsidR="00912412" w:rsidRPr="00C4219F">
        <w:rPr>
          <w:rFonts w:ascii="Arial" w:eastAsia="Arial" w:hAnsi="Arial"/>
          <w:color w:val="000000"/>
          <w:sz w:val="20"/>
        </w:rPr>
        <w:t>The following table summarizes expenses by function for the years ending December 31:</w:t>
      </w:r>
    </w:p>
    <w:tbl>
      <w:tblPr>
        <w:tblpPr w:leftFromText="180" w:rightFromText="180" w:vertAnchor="text" w:tblpY="80"/>
        <w:tblW w:w="0" w:type="auto"/>
        <w:tblLayout w:type="fixed"/>
        <w:tblCellMar>
          <w:left w:w="0" w:type="dxa"/>
          <w:right w:w="0" w:type="dxa"/>
        </w:tblCellMar>
        <w:tblLook w:val="04A0" w:firstRow="1" w:lastRow="0" w:firstColumn="1" w:lastColumn="0" w:noHBand="0" w:noVBand="1"/>
      </w:tblPr>
      <w:tblGrid>
        <w:gridCol w:w="4623"/>
        <w:gridCol w:w="1738"/>
        <w:gridCol w:w="1632"/>
        <w:gridCol w:w="1497"/>
      </w:tblGrid>
      <w:tr w:rsidR="00912412" w:rsidRPr="00C4219F" w:rsidTr="00527E7A">
        <w:trPr>
          <w:trHeight w:hRule="exact" w:val="68"/>
        </w:trPr>
        <w:tc>
          <w:tcPr>
            <w:tcW w:w="4623" w:type="dxa"/>
            <w:vMerge w:val="restart"/>
            <w:tcBorders>
              <w:top w:val="none" w:sz="0" w:space="0" w:color="000000"/>
              <w:left w:val="none" w:sz="0" w:space="0" w:color="000000"/>
              <w:bottom w:val="none" w:sz="0" w:space="0" w:color="000000"/>
              <w:right w:val="none" w:sz="0" w:space="0" w:color="000000"/>
            </w:tcBorders>
          </w:tcPr>
          <w:p w:rsidR="00912412" w:rsidRPr="00C4219F" w:rsidRDefault="00912412" w:rsidP="00912412">
            <w:pPr>
              <w:textAlignment w:val="baseline"/>
              <w:rPr>
                <w:rFonts w:ascii="Arial" w:eastAsia="Arial" w:hAnsi="Arial"/>
                <w:color w:val="000000"/>
                <w:sz w:val="24"/>
              </w:rPr>
            </w:pPr>
          </w:p>
        </w:tc>
        <w:tc>
          <w:tcPr>
            <w:tcW w:w="1738" w:type="dxa"/>
            <w:tcBorders>
              <w:top w:val="none" w:sz="0" w:space="0" w:color="000000"/>
              <w:left w:val="none" w:sz="0" w:space="0" w:color="000000"/>
              <w:bottom w:val="none" w:sz="0" w:space="0" w:color="000000"/>
              <w:right w:val="none" w:sz="0" w:space="0" w:color="000000"/>
            </w:tcBorders>
          </w:tcPr>
          <w:p w:rsidR="00912412" w:rsidRPr="00C4219F" w:rsidRDefault="00912412" w:rsidP="00912412">
            <w:pPr>
              <w:textAlignment w:val="baseline"/>
              <w:rPr>
                <w:rFonts w:ascii="Arial" w:eastAsia="Arial" w:hAnsi="Arial"/>
                <w:color w:val="000000"/>
                <w:sz w:val="24"/>
              </w:rPr>
            </w:pPr>
          </w:p>
        </w:tc>
        <w:tc>
          <w:tcPr>
            <w:tcW w:w="1632" w:type="dxa"/>
            <w:tcBorders>
              <w:top w:val="none" w:sz="0" w:space="0" w:color="000000"/>
              <w:left w:val="none" w:sz="0" w:space="0" w:color="000000"/>
              <w:bottom w:val="none" w:sz="0" w:space="0" w:color="000000"/>
              <w:right w:val="none" w:sz="0" w:space="0" w:color="000000"/>
            </w:tcBorders>
          </w:tcPr>
          <w:p w:rsidR="00912412" w:rsidRPr="00C4219F" w:rsidRDefault="00912412" w:rsidP="00912412">
            <w:pPr>
              <w:textAlignment w:val="baseline"/>
              <w:rPr>
                <w:rFonts w:ascii="Arial" w:eastAsia="Arial" w:hAnsi="Arial"/>
                <w:color w:val="000000"/>
                <w:sz w:val="24"/>
              </w:rPr>
            </w:pPr>
          </w:p>
        </w:tc>
        <w:tc>
          <w:tcPr>
            <w:tcW w:w="1497" w:type="dxa"/>
            <w:tcBorders>
              <w:top w:val="none" w:sz="0" w:space="0" w:color="000000"/>
              <w:left w:val="none" w:sz="0" w:space="0" w:color="000000"/>
              <w:bottom w:val="none" w:sz="0" w:space="0" w:color="000000"/>
              <w:right w:val="none" w:sz="0" w:space="0" w:color="000000"/>
            </w:tcBorders>
          </w:tcPr>
          <w:p w:rsidR="00912412" w:rsidRPr="00C4219F" w:rsidRDefault="00912412" w:rsidP="00912412">
            <w:pPr>
              <w:textAlignment w:val="baseline"/>
              <w:rPr>
                <w:rFonts w:ascii="Arial" w:eastAsia="Arial" w:hAnsi="Arial"/>
                <w:color w:val="000000"/>
                <w:sz w:val="24"/>
              </w:rPr>
            </w:pPr>
          </w:p>
        </w:tc>
      </w:tr>
      <w:tr w:rsidR="00912412" w:rsidRPr="00C4219F" w:rsidTr="00912412">
        <w:trPr>
          <w:trHeight w:hRule="exact" w:val="216"/>
        </w:trPr>
        <w:tc>
          <w:tcPr>
            <w:tcW w:w="4623" w:type="dxa"/>
            <w:vMerge/>
            <w:tcBorders>
              <w:top w:val="none" w:sz="0" w:space="0" w:color="000000"/>
              <w:left w:val="none" w:sz="0" w:space="0" w:color="000000"/>
              <w:bottom w:val="none" w:sz="0" w:space="0" w:color="000000"/>
              <w:right w:val="none" w:sz="0" w:space="0" w:color="000000"/>
            </w:tcBorders>
          </w:tcPr>
          <w:p w:rsidR="00912412" w:rsidRPr="00C4219F" w:rsidRDefault="00912412" w:rsidP="00912412"/>
        </w:tc>
        <w:tc>
          <w:tcPr>
            <w:tcW w:w="1738" w:type="dxa"/>
            <w:tcBorders>
              <w:top w:val="none" w:sz="0" w:space="0" w:color="000000"/>
              <w:left w:val="none" w:sz="0" w:space="0" w:color="000000"/>
              <w:bottom w:val="single" w:sz="5" w:space="0" w:color="000000"/>
              <w:right w:val="none" w:sz="0" w:space="0" w:color="000000"/>
            </w:tcBorders>
            <w:shd w:val="clear" w:color="800000" w:fill="800000"/>
            <w:vAlign w:val="center"/>
          </w:tcPr>
          <w:p w:rsidR="00912412" w:rsidRPr="00C4219F" w:rsidRDefault="00912412" w:rsidP="00B46D2F">
            <w:pPr>
              <w:spacing w:line="198" w:lineRule="exact"/>
              <w:ind w:right="395"/>
              <w:jc w:val="right"/>
              <w:textAlignment w:val="baseline"/>
              <w:rPr>
                <w:rFonts w:ascii="Arial" w:eastAsia="Arial" w:hAnsi="Arial"/>
                <w:color w:val="FFFFFF"/>
                <w:spacing w:val="-3"/>
                <w:sz w:val="20"/>
              </w:rPr>
            </w:pPr>
            <w:r w:rsidRPr="00C4219F">
              <w:rPr>
                <w:rFonts w:ascii="Arial" w:eastAsia="Arial" w:hAnsi="Arial"/>
                <w:color w:val="FFFFFF"/>
                <w:spacing w:val="-3"/>
                <w:sz w:val="20"/>
              </w:rPr>
              <w:t>201</w:t>
            </w:r>
            <w:r w:rsidR="00B46D2F">
              <w:rPr>
                <w:rFonts w:ascii="Arial" w:eastAsia="Arial" w:hAnsi="Arial"/>
                <w:color w:val="FFFFFF"/>
                <w:spacing w:val="-3"/>
                <w:sz w:val="20"/>
              </w:rPr>
              <w:t>5</w:t>
            </w:r>
          </w:p>
        </w:tc>
        <w:tc>
          <w:tcPr>
            <w:tcW w:w="1632" w:type="dxa"/>
            <w:tcBorders>
              <w:top w:val="none" w:sz="0" w:space="0" w:color="000000"/>
              <w:left w:val="none" w:sz="0" w:space="0" w:color="000000"/>
              <w:bottom w:val="single" w:sz="5" w:space="0" w:color="000000"/>
              <w:right w:val="none" w:sz="0" w:space="0" w:color="000000"/>
            </w:tcBorders>
            <w:shd w:val="clear" w:color="C0C0C0" w:fill="C0C0C0"/>
            <w:vAlign w:val="center"/>
          </w:tcPr>
          <w:p w:rsidR="00912412" w:rsidRPr="00C4219F" w:rsidRDefault="00912412" w:rsidP="00B46D2F">
            <w:pPr>
              <w:spacing w:line="198" w:lineRule="exact"/>
              <w:ind w:right="466"/>
              <w:jc w:val="right"/>
              <w:textAlignment w:val="baseline"/>
              <w:rPr>
                <w:rFonts w:ascii="Arial" w:eastAsia="Arial" w:hAnsi="Arial"/>
                <w:color w:val="000000"/>
                <w:spacing w:val="-2"/>
                <w:sz w:val="20"/>
              </w:rPr>
            </w:pPr>
            <w:r w:rsidRPr="00C4219F">
              <w:rPr>
                <w:rFonts w:ascii="Arial" w:eastAsia="Arial" w:hAnsi="Arial"/>
                <w:color w:val="000000"/>
                <w:spacing w:val="-2"/>
                <w:sz w:val="20"/>
              </w:rPr>
              <w:t>201</w:t>
            </w:r>
            <w:r w:rsidR="00B46D2F">
              <w:rPr>
                <w:rFonts w:ascii="Arial" w:eastAsia="Arial" w:hAnsi="Arial"/>
                <w:color w:val="000000"/>
                <w:spacing w:val="-2"/>
                <w:sz w:val="20"/>
              </w:rPr>
              <w:t>4</w:t>
            </w:r>
          </w:p>
        </w:tc>
        <w:tc>
          <w:tcPr>
            <w:tcW w:w="1497" w:type="dxa"/>
            <w:tcBorders>
              <w:top w:val="none" w:sz="0" w:space="0" w:color="000000"/>
              <w:left w:val="none" w:sz="0" w:space="0" w:color="000000"/>
              <w:bottom w:val="single" w:sz="5" w:space="0" w:color="000000"/>
              <w:right w:val="none" w:sz="0" w:space="0" w:color="000000"/>
            </w:tcBorders>
            <w:shd w:val="clear" w:color="C0C0C0" w:fill="C0C0C0"/>
            <w:vAlign w:val="center"/>
          </w:tcPr>
          <w:p w:rsidR="00912412" w:rsidRPr="00C4219F" w:rsidRDefault="00912412" w:rsidP="00B46D2F">
            <w:pPr>
              <w:spacing w:line="198" w:lineRule="exact"/>
              <w:ind w:right="389"/>
              <w:jc w:val="right"/>
              <w:textAlignment w:val="baseline"/>
              <w:rPr>
                <w:rFonts w:ascii="Arial" w:eastAsia="Arial" w:hAnsi="Arial"/>
                <w:color w:val="000000"/>
                <w:spacing w:val="-3"/>
                <w:sz w:val="20"/>
              </w:rPr>
            </w:pPr>
            <w:r w:rsidRPr="00C4219F">
              <w:rPr>
                <w:rFonts w:ascii="Arial" w:eastAsia="Arial" w:hAnsi="Arial"/>
                <w:color w:val="000000"/>
                <w:spacing w:val="-3"/>
                <w:sz w:val="20"/>
              </w:rPr>
              <w:t>201</w:t>
            </w:r>
            <w:r w:rsidR="00B46D2F">
              <w:rPr>
                <w:rFonts w:ascii="Arial" w:eastAsia="Arial" w:hAnsi="Arial"/>
                <w:color w:val="000000"/>
                <w:spacing w:val="-3"/>
                <w:sz w:val="20"/>
              </w:rPr>
              <w:t>3</w:t>
            </w:r>
          </w:p>
        </w:tc>
      </w:tr>
      <w:tr w:rsidR="00673D42" w:rsidRPr="00C4219F" w:rsidTr="00912412">
        <w:trPr>
          <w:trHeight w:hRule="exact" w:val="240"/>
        </w:trPr>
        <w:tc>
          <w:tcPr>
            <w:tcW w:w="4623" w:type="dxa"/>
            <w:tcBorders>
              <w:top w:val="none" w:sz="0" w:space="0" w:color="000000"/>
              <w:left w:val="none" w:sz="0" w:space="0" w:color="000000"/>
              <w:bottom w:val="none" w:sz="0" w:space="0" w:color="000000"/>
              <w:right w:val="none" w:sz="0" w:space="0" w:color="000000"/>
            </w:tcBorders>
            <w:vAlign w:val="center"/>
          </w:tcPr>
          <w:p w:rsidR="00673D42" w:rsidRPr="00C4219F" w:rsidRDefault="00673D42" w:rsidP="00673D42">
            <w:pPr>
              <w:spacing w:line="213" w:lineRule="exact"/>
              <w:ind w:left="663"/>
              <w:textAlignment w:val="baseline"/>
              <w:rPr>
                <w:rFonts w:ascii="Arial" w:eastAsia="Arial" w:hAnsi="Arial"/>
                <w:color w:val="000000"/>
                <w:sz w:val="20"/>
              </w:rPr>
            </w:pPr>
            <w:r w:rsidRPr="00C4219F">
              <w:rPr>
                <w:rFonts w:ascii="Arial" w:eastAsia="Arial" w:hAnsi="Arial"/>
                <w:color w:val="000000"/>
                <w:sz w:val="20"/>
              </w:rPr>
              <w:t>Claims expense</w:t>
            </w:r>
          </w:p>
        </w:tc>
        <w:tc>
          <w:tcPr>
            <w:tcW w:w="1738" w:type="dxa"/>
            <w:tcBorders>
              <w:top w:val="single" w:sz="5" w:space="0" w:color="000000"/>
              <w:left w:val="none" w:sz="0" w:space="0" w:color="000000"/>
              <w:bottom w:val="none" w:sz="0" w:space="0" w:color="000000"/>
              <w:right w:val="none" w:sz="0" w:space="0" w:color="000000"/>
            </w:tcBorders>
            <w:vAlign w:val="center"/>
          </w:tcPr>
          <w:p w:rsidR="00673D42" w:rsidRPr="00C4219F" w:rsidRDefault="00673D42" w:rsidP="00B46D2F">
            <w:pPr>
              <w:tabs>
                <w:tab w:val="right" w:pos="1584"/>
              </w:tabs>
              <w:spacing w:line="213" w:lineRule="exact"/>
              <w:ind w:right="125"/>
              <w:jc w:val="right"/>
              <w:textAlignment w:val="baseline"/>
              <w:rPr>
                <w:rFonts w:ascii="Arial" w:eastAsia="Arial" w:hAnsi="Arial"/>
                <w:color w:val="000000"/>
                <w:sz w:val="20"/>
              </w:rPr>
            </w:pPr>
            <w:r w:rsidRPr="00C4219F">
              <w:rPr>
                <w:rFonts w:ascii="Arial" w:eastAsia="Arial" w:hAnsi="Arial"/>
                <w:color w:val="000000"/>
                <w:sz w:val="20"/>
              </w:rPr>
              <w:t>$</w:t>
            </w:r>
            <w:r w:rsidRPr="00C4219F">
              <w:rPr>
                <w:rFonts w:ascii="Arial" w:eastAsia="Arial" w:hAnsi="Arial"/>
                <w:color w:val="000000"/>
                <w:sz w:val="20"/>
              </w:rPr>
              <w:tab/>
            </w:r>
            <w:r w:rsidR="00B46D2F">
              <w:rPr>
                <w:rFonts w:ascii="Arial" w:eastAsia="Arial" w:hAnsi="Arial"/>
                <w:color w:val="000000"/>
                <w:sz w:val="20"/>
              </w:rPr>
              <w:t>28,750,405</w:t>
            </w:r>
          </w:p>
        </w:tc>
        <w:tc>
          <w:tcPr>
            <w:tcW w:w="1632" w:type="dxa"/>
            <w:tcBorders>
              <w:top w:val="single" w:sz="5" w:space="0" w:color="000000"/>
              <w:left w:val="none" w:sz="0" w:space="0" w:color="000000"/>
              <w:bottom w:val="none" w:sz="0" w:space="0" w:color="000000"/>
              <w:right w:val="none" w:sz="0" w:space="0" w:color="000000"/>
            </w:tcBorders>
            <w:vAlign w:val="center"/>
          </w:tcPr>
          <w:p w:rsidR="00673D42" w:rsidRPr="00C4219F" w:rsidRDefault="00673D42" w:rsidP="00673D42">
            <w:pPr>
              <w:tabs>
                <w:tab w:val="right" w:pos="1584"/>
              </w:tabs>
              <w:spacing w:line="213" w:lineRule="exact"/>
              <w:ind w:right="125"/>
              <w:jc w:val="right"/>
              <w:textAlignment w:val="baseline"/>
              <w:rPr>
                <w:rFonts w:ascii="Arial" w:eastAsia="Arial" w:hAnsi="Arial"/>
                <w:color w:val="000000"/>
                <w:sz w:val="20"/>
              </w:rPr>
            </w:pPr>
            <w:r w:rsidRPr="00C4219F">
              <w:rPr>
                <w:rFonts w:ascii="Arial" w:eastAsia="Arial" w:hAnsi="Arial"/>
                <w:color w:val="000000"/>
                <w:sz w:val="20"/>
              </w:rPr>
              <w:t>$</w:t>
            </w:r>
            <w:r w:rsidRPr="00C4219F">
              <w:rPr>
                <w:rFonts w:ascii="Arial" w:eastAsia="Arial" w:hAnsi="Arial"/>
                <w:color w:val="000000"/>
                <w:sz w:val="20"/>
              </w:rPr>
              <w:tab/>
              <w:t>29,755,490</w:t>
            </w:r>
          </w:p>
        </w:tc>
        <w:tc>
          <w:tcPr>
            <w:tcW w:w="1497" w:type="dxa"/>
            <w:tcBorders>
              <w:top w:val="single" w:sz="5" w:space="0" w:color="000000"/>
              <w:left w:val="none" w:sz="0" w:space="0" w:color="000000"/>
              <w:bottom w:val="none" w:sz="0" w:space="0" w:color="000000"/>
              <w:right w:val="none" w:sz="0" w:space="0" w:color="000000"/>
            </w:tcBorders>
            <w:vAlign w:val="center"/>
          </w:tcPr>
          <w:p w:rsidR="00673D42" w:rsidRPr="00C4219F" w:rsidRDefault="00673D42" w:rsidP="00673D42">
            <w:pPr>
              <w:tabs>
                <w:tab w:val="right" w:pos="1512"/>
              </w:tabs>
              <w:spacing w:line="213" w:lineRule="exact"/>
              <w:ind w:right="106"/>
              <w:jc w:val="right"/>
              <w:textAlignment w:val="baseline"/>
              <w:rPr>
                <w:rFonts w:ascii="Arial" w:eastAsia="Arial" w:hAnsi="Arial"/>
                <w:color w:val="000000"/>
                <w:sz w:val="20"/>
              </w:rPr>
            </w:pPr>
            <w:r w:rsidRPr="00C4219F">
              <w:rPr>
                <w:rFonts w:ascii="Arial" w:eastAsia="Arial" w:hAnsi="Arial"/>
                <w:color w:val="000000"/>
                <w:sz w:val="20"/>
              </w:rPr>
              <w:t>$</w:t>
            </w:r>
            <w:r w:rsidRPr="00C4219F">
              <w:rPr>
                <w:rFonts w:ascii="Arial" w:eastAsia="Arial" w:hAnsi="Arial"/>
                <w:color w:val="000000"/>
                <w:sz w:val="20"/>
              </w:rPr>
              <w:tab/>
              <w:t>28,013,757</w:t>
            </w:r>
          </w:p>
        </w:tc>
      </w:tr>
      <w:tr w:rsidR="00673D42" w:rsidRPr="00C4219F" w:rsidTr="00912412">
        <w:trPr>
          <w:trHeight w:hRule="exact" w:val="235"/>
        </w:trPr>
        <w:tc>
          <w:tcPr>
            <w:tcW w:w="4623" w:type="dxa"/>
            <w:tcBorders>
              <w:top w:val="none" w:sz="0" w:space="0" w:color="000000"/>
              <w:left w:val="none" w:sz="0" w:space="0" w:color="000000"/>
              <w:bottom w:val="none" w:sz="0" w:space="0" w:color="000000"/>
              <w:right w:val="none" w:sz="0" w:space="0" w:color="000000"/>
            </w:tcBorders>
            <w:vAlign w:val="center"/>
          </w:tcPr>
          <w:p w:rsidR="00673D42" w:rsidRPr="00C4219F" w:rsidRDefault="00673D42" w:rsidP="00673D42">
            <w:pPr>
              <w:spacing w:line="214" w:lineRule="exact"/>
              <w:ind w:left="663"/>
              <w:textAlignment w:val="baseline"/>
              <w:rPr>
                <w:rFonts w:ascii="Arial" w:eastAsia="Arial" w:hAnsi="Arial"/>
                <w:color w:val="000000"/>
                <w:sz w:val="20"/>
              </w:rPr>
            </w:pPr>
            <w:r w:rsidRPr="00C4219F">
              <w:rPr>
                <w:rFonts w:ascii="Arial" w:eastAsia="Arial" w:hAnsi="Arial"/>
                <w:color w:val="000000"/>
                <w:sz w:val="20"/>
              </w:rPr>
              <w:t>Administrative fees</w:t>
            </w:r>
            <w:r>
              <w:rPr>
                <w:rFonts w:ascii="Arial" w:eastAsia="Arial" w:hAnsi="Arial"/>
                <w:color w:val="000000"/>
                <w:sz w:val="20"/>
              </w:rPr>
              <w:t xml:space="preserve"> (3</w:t>
            </w:r>
            <w:r w:rsidRPr="00BC1E88">
              <w:rPr>
                <w:rFonts w:ascii="Arial" w:eastAsia="Arial" w:hAnsi="Arial"/>
                <w:color w:val="000000"/>
                <w:sz w:val="20"/>
                <w:vertAlign w:val="superscript"/>
              </w:rPr>
              <w:t>rd</w:t>
            </w:r>
            <w:r>
              <w:rPr>
                <w:rFonts w:ascii="Arial" w:eastAsia="Arial" w:hAnsi="Arial"/>
                <w:color w:val="000000"/>
                <w:sz w:val="20"/>
              </w:rPr>
              <w:t xml:space="preserve"> party administrators)</w:t>
            </w:r>
          </w:p>
        </w:tc>
        <w:tc>
          <w:tcPr>
            <w:tcW w:w="1738" w:type="dxa"/>
            <w:tcBorders>
              <w:top w:val="none" w:sz="0" w:space="0" w:color="000000"/>
              <w:left w:val="none" w:sz="0" w:space="0" w:color="000000"/>
              <w:bottom w:val="none" w:sz="0" w:space="0" w:color="000000"/>
              <w:right w:val="none" w:sz="0" w:space="0" w:color="000000"/>
            </w:tcBorders>
            <w:vAlign w:val="center"/>
          </w:tcPr>
          <w:p w:rsidR="00673D42" w:rsidRPr="00C4219F" w:rsidRDefault="00B46D2F" w:rsidP="00673D42">
            <w:pPr>
              <w:spacing w:line="214" w:lineRule="exact"/>
              <w:ind w:right="125"/>
              <w:jc w:val="right"/>
              <w:textAlignment w:val="baseline"/>
              <w:rPr>
                <w:rFonts w:ascii="Arial" w:eastAsia="Arial" w:hAnsi="Arial"/>
                <w:color w:val="000000"/>
                <w:spacing w:val="-1"/>
                <w:sz w:val="20"/>
              </w:rPr>
            </w:pPr>
            <w:r>
              <w:rPr>
                <w:rFonts w:ascii="Arial" w:eastAsia="Arial" w:hAnsi="Arial"/>
                <w:color w:val="000000"/>
                <w:spacing w:val="-1"/>
                <w:sz w:val="20"/>
              </w:rPr>
              <w:t>1,003,466</w:t>
            </w:r>
          </w:p>
        </w:tc>
        <w:tc>
          <w:tcPr>
            <w:tcW w:w="1632" w:type="dxa"/>
            <w:tcBorders>
              <w:top w:val="none" w:sz="0" w:space="0" w:color="000000"/>
              <w:left w:val="none" w:sz="0" w:space="0" w:color="000000"/>
              <w:bottom w:val="none" w:sz="0" w:space="0" w:color="000000"/>
              <w:right w:val="none" w:sz="0" w:space="0" w:color="000000"/>
            </w:tcBorders>
            <w:vAlign w:val="center"/>
          </w:tcPr>
          <w:p w:rsidR="00673D42" w:rsidRPr="00C4219F" w:rsidRDefault="00673D42" w:rsidP="00673D42">
            <w:pPr>
              <w:spacing w:line="214" w:lineRule="exact"/>
              <w:ind w:right="125"/>
              <w:jc w:val="right"/>
              <w:textAlignment w:val="baseline"/>
              <w:rPr>
                <w:rFonts w:ascii="Arial" w:eastAsia="Arial" w:hAnsi="Arial"/>
                <w:color w:val="000000"/>
                <w:spacing w:val="-1"/>
                <w:sz w:val="20"/>
              </w:rPr>
            </w:pPr>
            <w:r w:rsidRPr="00C4219F">
              <w:rPr>
                <w:rFonts w:ascii="Arial" w:eastAsia="Arial" w:hAnsi="Arial"/>
                <w:color w:val="000000"/>
                <w:spacing w:val="-1"/>
                <w:sz w:val="20"/>
              </w:rPr>
              <w:t>988,796</w:t>
            </w:r>
          </w:p>
        </w:tc>
        <w:tc>
          <w:tcPr>
            <w:tcW w:w="1497" w:type="dxa"/>
            <w:tcBorders>
              <w:top w:val="none" w:sz="0" w:space="0" w:color="000000"/>
              <w:left w:val="none" w:sz="0" w:space="0" w:color="000000"/>
              <w:bottom w:val="none" w:sz="0" w:space="0" w:color="000000"/>
              <w:right w:val="none" w:sz="0" w:space="0" w:color="000000"/>
            </w:tcBorders>
            <w:vAlign w:val="center"/>
          </w:tcPr>
          <w:p w:rsidR="00673D42" w:rsidRPr="00C4219F" w:rsidRDefault="00673D42" w:rsidP="00673D42">
            <w:pPr>
              <w:spacing w:line="214" w:lineRule="exact"/>
              <w:ind w:right="106"/>
              <w:jc w:val="right"/>
              <w:textAlignment w:val="baseline"/>
              <w:rPr>
                <w:rFonts w:ascii="Arial" w:eastAsia="Arial" w:hAnsi="Arial"/>
                <w:color w:val="000000"/>
                <w:spacing w:val="-1"/>
                <w:sz w:val="20"/>
              </w:rPr>
            </w:pPr>
            <w:r w:rsidRPr="00C4219F">
              <w:rPr>
                <w:rFonts w:ascii="Arial" w:eastAsia="Arial" w:hAnsi="Arial"/>
                <w:color w:val="000000"/>
                <w:spacing w:val="-1"/>
                <w:sz w:val="20"/>
              </w:rPr>
              <w:t>939,946</w:t>
            </w:r>
          </w:p>
        </w:tc>
      </w:tr>
      <w:tr w:rsidR="00673D42" w:rsidRPr="00C4219F" w:rsidTr="00527E7A">
        <w:trPr>
          <w:trHeight w:hRule="exact" w:val="315"/>
        </w:trPr>
        <w:tc>
          <w:tcPr>
            <w:tcW w:w="4623" w:type="dxa"/>
            <w:tcBorders>
              <w:top w:val="none" w:sz="0" w:space="0" w:color="000000"/>
              <w:left w:val="none" w:sz="0" w:space="0" w:color="000000"/>
              <w:bottom w:val="none" w:sz="0" w:space="0" w:color="000000"/>
              <w:right w:val="none" w:sz="0" w:space="0" w:color="000000"/>
            </w:tcBorders>
            <w:vAlign w:val="center"/>
          </w:tcPr>
          <w:p w:rsidR="00673D42" w:rsidRPr="00C4219F" w:rsidRDefault="00673D42" w:rsidP="00673D42">
            <w:pPr>
              <w:spacing w:line="213" w:lineRule="exact"/>
              <w:ind w:left="663"/>
              <w:textAlignment w:val="baseline"/>
              <w:rPr>
                <w:rFonts w:ascii="Arial" w:eastAsia="Arial" w:hAnsi="Arial"/>
                <w:color w:val="000000"/>
                <w:sz w:val="20"/>
              </w:rPr>
            </w:pPr>
            <w:r w:rsidRPr="00C4219F">
              <w:rPr>
                <w:rFonts w:ascii="Arial" w:eastAsia="Arial" w:hAnsi="Arial"/>
                <w:color w:val="000000"/>
                <w:sz w:val="20"/>
              </w:rPr>
              <w:t>Other expenses</w:t>
            </w:r>
          </w:p>
        </w:tc>
        <w:tc>
          <w:tcPr>
            <w:tcW w:w="1738" w:type="dxa"/>
            <w:tcBorders>
              <w:top w:val="none" w:sz="0" w:space="0" w:color="000000"/>
              <w:left w:val="none" w:sz="0" w:space="0" w:color="000000"/>
              <w:bottom w:val="none" w:sz="0" w:space="0" w:color="000000"/>
              <w:right w:val="none" w:sz="0" w:space="0" w:color="000000"/>
            </w:tcBorders>
            <w:vAlign w:val="center"/>
          </w:tcPr>
          <w:p w:rsidR="00673D42" w:rsidRPr="00C4219F" w:rsidRDefault="00B46D2F" w:rsidP="00673D42">
            <w:pPr>
              <w:spacing w:line="213" w:lineRule="exact"/>
              <w:ind w:right="125"/>
              <w:jc w:val="right"/>
              <w:textAlignment w:val="baseline"/>
              <w:rPr>
                <w:rFonts w:ascii="Arial" w:eastAsia="Arial" w:hAnsi="Arial"/>
                <w:color w:val="000000"/>
                <w:spacing w:val="-1"/>
                <w:sz w:val="20"/>
              </w:rPr>
            </w:pPr>
            <w:r>
              <w:rPr>
                <w:rFonts w:ascii="Arial" w:eastAsia="Arial" w:hAnsi="Arial"/>
                <w:color w:val="000000"/>
                <w:spacing w:val="-1"/>
                <w:sz w:val="20"/>
              </w:rPr>
              <w:t>610,589</w:t>
            </w:r>
          </w:p>
        </w:tc>
        <w:tc>
          <w:tcPr>
            <w:tcW w:w="1632" w:type="dxa"/>
            <w:tcBorders>
              <w:top w:val="none" w:sz="0" w:space="0" w:color="000000"/>
              <w:left w:val="none" w:sz="0" w:space="0" w:color="000000"/>
              <w:bottom w:val="none" w:sz="0" w:space="0" w:color="000000"/>
              <w:right w:val="none" w:sz="0" w:space="0" w:color="000000"/>
            </w:tcBorders>
            <w:vAlign w:val="center"/>
          </w:tcPr>
          <w:p w:rsidR="00673D42" w:rsidRPr="00C4219F" w:rsidRDefault="00673D42" w:rsidP="00673D42">
            <w:pPr>
              <w:spacing w:line="213" w:lineRule="exact"/>
              <w:ind w:right="125"/>
              <w:jc w:val="right"/>
              <w:textAlignment w:val="baseline"/>
              <w:rPr>
                <w:rFonts w:ascii="Arial" w:eastAsia="Arial" w:hAnsi="Arial"/>
                <w:color w:val="000000"/>
                <w:spacing w:val="-1"/>
                <w:sz w:val="20"/>
              </w:rPr>
            </w:pPr>
            <w:r w:rsidRPr="00C4219F">
              <w:rPr>
                <w:rFonts w:ascii="Arial" w:eastAsia="Arial" w:hAnsi="Arial"/>
                <w:color w:val="000000"/>
                <w:spacing w:val="-1"/>
                <w:sz w:val="20"/>
              </w:rPr>
              <w:t>562,919</w:t>
            </w:r>
          </w:p>
        </w:tc>
        <w:tc>
          <w:tcPr>
            <w:tcW w:w="1497" w:type="dxa"/>
            <w:tcBorders>
              <w:top w:val="none" w:sz="0" w:space="0" w:color="000000"/>
              <w:left w:val="none" w:sz="0" w:space="0" w:color="000000"/>
              <w:bottom w:val="none" w:sz="0" w:space="0" w:color="000000"/>
              <w:right w:val="none" w:sz="0" w:space="0" w:color="000000"/>
            </w:tcBorders>
            <w:vAlign w:val="center"/>
          </w:tcPr>
          <w:p w:rsidR="00673D42" w:rsidRPr="00C4219F" w:rsidRDefault="00673D42" w:rsidP="00673D42">
            <w:pPr>
              <w:spacing w:line="213" w:lineRule="exact"/>
              <w:ind w:right="106"/>
              <w:jc w:val="right"/>
              <w:textAlignment w:val="baseline"/>
              <w:rPr>
                <w:rFonts w:ascii="Arial" w:eastAsia="Arial" w:hAnsi="Arial"/>
                <w:color w:val="000000"/>
                <w:spacing w:val="-1"/>
                <w:sz w:val="20"/>
              </w:rPr>
            </w:pPr>
            <w:r w:rsidRPr="00C4219F">
              <w:rPr>
                <w:rFonts w:ascii="Arial" w:eastAsia="Arial" w:hAnsi="Arial"/>
                <w:color w:val="000000"/>
                <w:spacing w:val="-1"/>
                <w:sz w:val="20"/>
              </w:rPr>
              <w:t>610,890</w:t>
            </w:r>
          </w:p>
        </w:tc>
      </w:tr>
      <w:tr w:rsidR="00673D42" w:rsidRPr="00C4219F" w:rsidTr="00527E7A">
        <w:trPr>
          <w:trHeight w:hRule="exact" w:val="270"/>
        </w:trPr>
        <w:tc>
          <w:tcPr>
            <w:tcW w:w="4623" w:type="dxa"/>
            <w:tcBorders>
              <w:top w:val="none" w:sz="0" w:space="0" w:color="000000"/>
              <w:left w:val="none" w:sz="0" w:space="0" w:color="000000"/>
              <w:bottom w:val="none" w:sz="0" w:space="0" w:color="000000"/>
              <w:right w:val="none" w:sz="0" w:space="0" w:color="000000"/>
            </w:tcBorders>
            <w:vAlign w:val="center"/>
          </w:tcPr>
          <w:p w:rsidR="00673D42" w:rsidRPr="00C4219F" w:rsidRDefault="00673D42" w:rsidP="00673D42">
            <w:pPr>
              <w:spacing w:line="213" w:lineRule="exact"/>
              <w:ind w:left="663"/>
              <w:textAlignment w:val="baseline"/>
              <w:rPr>
                <w:rFonts w:ascii="Arial" w:eastAsia="Arial" w:hAnsi="Arial"/>
                <w:color w:val="000000"/>
                <w:sz w:val="20"/>
              </w:rPr>
            </w:pPr>
            <w:r w:rsidRPr="00C4219F">
              <w:rPr>
                <w:rFonts w:ascii="Arial" w:eastAsia="Arial" w:hAnsi="Arial"/>
                <w:color w:val="000000"/>
                <w:sz w:val="20"/>
              </w:rPr>
              <w:t>Reinsurance expenses, net of recoveries</w:t>
            </w:r>
          </w:p>
        </w:tc>
        <w:tc>
          <w:tcPr>
            <w:tcW w:w="1738" w:type="dxa"/>
            <w:tcBorders>
              <w:top w:val="none" w:sz="0" w:space="0" w:color="000000"/>
              <w:left w:val="none" w:sz="0" w:space="0" w:color="000000"/>
              <w:bottom w:val="single" w:sz="5" w:space="0" w:color="000000"/>
              <w:right w:val="none" w:sz="0" w:space="0" w:color="000000"/>
            </w:tcBorders>
            <w:vAlign w:val="center"/>
          </w:tcPr>
          <w:p w:rsidR="00673D42" w:rsidRPr="00C4219F" w:rsidRDefault="00B46D2F" w:rsidP="00673D42">
            <w:pPr>
              <w:spacing w:line="213" w:lineRule="exact"/>
              <w:ind w:right="125"/>
              <w:jc w:val="right"/>
              <w:textAlignment w:val="baseline"/>
              <w:rPr>
                <w:rFonts w:ascii="Arial" w:eastAsia="Arial" w:hAnsi="Arial"/>
                <w:color w:val="000000"/>
                <w:spacing w:val="-1"/>
                <w:sz w:val="20"/>
              </w:rPr>
            </w:pPr>
            <w:r>
              <w:rPr>
                <w:rFonts w:ascii="Arial" w:eastAsia="Arial" w:hAnsi="Arial"/>
                <w:color w:val="000000"/>
                <w:spacing w:val="-1"/>
                <w:sz w:val="20"/>
              </w:rPr>
              <w:t>706,517</w:t>
            </w:r>
          </w:p>
        </w:tc>
        <w:tc>
          <w:tcPr>
            <w:tcW w:w="1632" w:type="dxa"/>
            <w:tcBorders>
              <w:top w:val="none" w:sz="0" w:space="0" w:color="000000"/>
              <w:left w:val="none" w:sz="0" w:space="0" w:color="000000"/>
              <w:bottom w:val="single" w:sz="5" w:space="0" w:color="000000"/>
              <w:right w:val="none" w:sz="0" w:space="0" w:color="000000"/>
            </w:tcBorders>
            <w:vAlign w:val="center"/>
          </w:tcPr>
          <w:p w:rsidR="00673D42" w:rsidRPr="00C4219F" w:rsidRDefault="00673D42" w:rsidP="00673D42">
            <w:pPr>
              <w:spacing w:line="213" w:lineRule="exact"/>
              <w:ind w:right="125"/>
              <w:jc w:val="right"/>
              <w:textAlignment w:val="baseline"/>
              <w:rPr>
                <w:rFonts w:ascii="Arial" w:eastAsia="Arial" w:hAnsi="Arial"/>
                <w:color w:val="000000"/>
                <w:spacing w:val="-1"/>
                <w:sz w:val="20"/>
              </w:rPr>
            </w:pPr>
            <w:r w:rsidRPr="00C4219F">
              <w:rPr>
                <w:rFonts w:ascii="Arial" w:eastAsia="Arial" w:hAnsi="Arial"/>
                <w:color w:val="000000"/>
                <w:spacing w:val="-1"/>
                <w:sz w:val="20"/>
              </w:rPr>
              <w:t>836,935</w:t>
            </w:r>
          </w:p>
        </w:tc>
        <w:tc>
          <w:tcPr>
            <w:tcW w:w="1497" w:type="dxa"/>
            <w:tcBorders>
              <w:top w:val="none" w:sz="0" w:space="0" w:color="000000"/>
              <w:left w:val="none" w:sz="0" w:space="0" w:color="000000"/>
              <w:bottom w:val="single" w:sz="5" w:space="0" w:color="000000"/>
              <w:right w:val="none" w:sz="0" w:space="0" w:color="000000"/>
            </w:tcBorders>
            <w:vAlign w:val="center"/>
          </w:tcPr>
          <w:p w:rsidR="00673D42" w:rsidRPr="00C4219F" w:rsidRDefault="00673D42" w:rsidP="00673D42">
            <w:pPr>
              <w:spacing w:line="213" w:lineRule="exact"/>
              <w:ind w:right="106"/>
              <w:jc w:val="right"/>
              <w:textAlignment w:val="baseline"/>
              <w:rPr>
                <w:rFonts w:ascii="Arial" w:eastAsia="Arial" w:hAnsi="Arial"/>
                <w:color w:val="000000"/>
                <w:spacing w:val="-1"/>
                <w:sz w:val="20"/>
              </w:rPr>
            </w:pPr>
            <w:r w:rsidRPr="00C4219F">
              <w:rPr>
                <w:rFonts w:ascii="Arial" w:eastAsia="Arial" w:hAnsi="Arial"/>
                <w:color w:val="000000"/>
                <w:spacing w:val="-1"/>
                <w:sz w:val="20"/>
              </w:rPr>
              <w:t>310,713</w:t>
            </w:r>
          </w:p>
        </w:tc>
      </w:tr>
      <w:tr w:rsidR="00673D42" w:rsidRPr="00C4219F" w:rsidTr="00912412">
        <w:trPr>
          <w:trHeight w:hRule="exact" w:val="504"/>
        </w:trPr>
        <w:tc>
          <w:tcPr>
            <w:tcW w:w="4623" w:type="dxa"/>
            <w:tcBorders>
              <w:top w:val="none" w:sz="0" w:space="0" w:color="000000"/>
              <w:left w:val="none" w:sz="0" w:space="0" w:color="000000"/>
              <w:bottom w:val="none" w:sz="0" w:space="0" w:color="000000"/>
              <w:right w:val="none" w:sz="0" w:space="0" w:color="000000"/>
            </w:tcBorders>
            <w:vAlign w:val="bottom"/>
          </w:tcPr>
          <w:p w:rsidR="00673D42" w:rsidRPr="00C4219F" w:rsidRDefault="00673D42" w:rsidP="00673D42">
            <w:pPr>
              <w:spacing w:before="238" w:after="28" w:line="223" w:lineRule="exact"/>
              <w:ind w:left="753"/>
              <w:textAlignment w:val="baseline"/>
              <w:rPr>
                <w:rFonts w:ascii="Arial" w:eastAsia="Arial" w:hAnsi="Arial"/>
                <w:color w:val="000000"/>
                <w:sz w:val="20"/>
              </w:rPr>
            </w:pPr>
            <w:r w:rsidRPr="00C4219F">
              <w:rPr>
                <w:rFonts w:ascii="Arial" w:eastAsia="Arial" w:hAnsi="Arial"/>
                <w:color w:val="000000"/>
                <w:sz w:val="20"/>
              </w:rPr>
              <w:t>Total Expenses</w:t>
            </w:r>
          </w:p>
        </w:tc>
        <w:tc>
          <w:tcPr>
            <w:tcW w:w="1738" w:type="dxa"/>
            <w:tcBorders>
              <w:top w:val="single" w:sz="5" w:space="0" w:color="000000"/>
              <w:left w:val="none" w:sz="0" w:space="0" w:color="000000"/>
              <w:bottom w:val="single" w:sz="5" w:space="0" w:color="000000"/>
              <w:right w:val="none" w:sz="0" w:space="0" w:color="000000"/>
            </w:tcBorders>
            <w:vAlign w:val="bottom"/>
          </w:tcPr>
          <w:p w:rsidR="00673D42" w:rsidRPr="00C4219F" w:rsidRDefault="00B46D2F" w:rsidP="00673D42">
            <w:pPr>
              <w:tabs>
                <w:tab w:val="right" w:pos="1584"/>
              </w:tabs>
              <w:spacing w:before="238" w:after="33" w:line="218" w:lineRule="exact"/>
              <w:ind w:right="125"/>
              <w:jc w:val="right"/>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t>31,070,977</w:t>
            </w:r>
          </w:p>
        </w:tc>
        <w:tc>
          <w:tcPr>
            <w:tcW w:w="1632" w:type="dxa"/>
            <w:tcBorders>
              <w:top w:val="single" w:sz="5" w:space="0" w:color="000000"/>
              <w:left w:val="none" w:sz="0" w:space="0" w:color="000000"/>
              <w:bottom w:val="single" w:sz="5" w:space="0" w:color="000000"/>
              <w:right w:val="none" w:sz="0" w:space="0" w:color="000000"/>
            </w:tcBorders>
            <w:vAlign w:val="bottom"/>
          </w:tcPr>
          <w:p w:rsidR="00673D42" w:rsidRPr="00C4219F" w:rsidRDefault="00673D42" w:rsidP="00673D42">
            <w:pPr>
              <w:tabs>
                <w:tab w:val="right" w:pos="1584"/>
              </w:tabs>
              <w:spacing w:before="238" w:after="33" w:line="218" w:lineRule="exact"/>
              <w:ind w:right="125"/>
              <w:jc w:val="right"/>
              <w:textAlignment w:val="baseline"/>
              <w:rPr>
                <w:rFonts w:ascii="Arial" w:eastAsia="Arial" w:hAnsi="Arial"/>
                <w:color w:val="000000"/>
                <w:sz w:val="20"/>
              </w:rPr>
            </w:pPr>
            <w:r w:rsidRPr="00C4219F">
              <w:rPr>
                <w:rFonts w:ascii="Arial" w:eastAsia="Arial" w:hAnsi="Arial"/>
                <w:color w:val="000000"/>
                <w:sz w:val="20"/>
              </w:rPr>
              <w:t>$</w:t>
            </w:r>
            <w:r w:rsidRPr="00C4219F">
              <w:rPr>
                <w:rFonts w:ascii="Arial" w:eastAsia="Arial" w:hAnsi="Arial"/>
                <w:color w:val="000000"/>
                <w:sz w:val="20"/>
              </w:rPr>
              <w:tab/>
              <w:t>32,144,140</w:t>
            </w:r>
          </w:p>
        </w:tc>
        <w:tc>
          <w:tcPr>
            <w:tcW w:w="1497" w:type="dxa"/>
            <w:tcBorders>
              <w:top w:val="single" w:sz="5" w:space="0" w:color="000000"/>
              <w:left w:val="none" w:sz="0" w:space="0" w:color="000000"/>
              <w:bottom w:val="single" w:sz="5" w:space="0" w:color="000000"/>
              <w:right w:val="none" w:sz="0" w:space="0" w:color="000000"/>
            </w:tcBorders>
            <w:vAlign w:val="bottom"/>
          </w:tcPr>
          <w:p w:rsidR="00673D42" w:rsidRPr="00C4219F" w:rsidRDefault="00673D42" w:rsidP="00673D42">
            <w:pPr>
              <w:tabs>
                <w:tab w:val="right" w:pos="1512"/>
              </w:tabs>
              <w:spacing w:before="238" w:after="33" w:line="218" w:lineRule="exact"/>
              <w:ind w:right="106"/>
              <w:jc w:val="right"/>
              <w:textAlignment w:val="baseline"/>
              <w:rPr>
                <w:rFonts w:ascii="Arial" w:eastAsia="Arial" w:hAnsi="Arial"/>
                <w:color w:val="000000"/>
                <w:sz w:val="20"/>
              </w:rPr>
            </w:pPr>
            <w:r w:rsidRPr="00C4219F">
              <w:rPr>
                <w:rFonts w:ascii="Arial" w:eastAsia="Arial" w:hAnsi="Arial"/>
                <w:color w:val="000000"/>
                <w:sz w:val="20"/>
              </w:rPr>
              <w:t>$</w:t>
            </w:r>
            <w:r w:rsidRPr="00C4219F">
              <w:rPr>
                <w:rFonts w:ascii="Arial" w:eastAsia="Arial" w:hAnsi="Arial"/>
                <w:color w:val="000000"/>
                <w:sz w:val="20"/>
              </w:rPr>
              <w:tab/>
              <w:t>29,875,306</w:t>
            </w:r>
          </w:p>
        </w:tc>
      </w:tr>
    </w:tbl>
    <w:p w:rsidR="00912412" w:rsidRPr="00C4219F" w:rsidRDefault="00912412" w:rsidP="00527E7A">
      <w:pPr>
        <w:autoSpaceDE w:val="0"/>
        <w:autoSpaceDN w:val="0"/>
        <w:adjustRightInd w:val="0"/>
        <w:spacing w:after="0" w:line="240" w:lineRule="auto"/>
        <w:jc w:val="center"/>
        <w:rPr>
          <w:rFonts w:ascii="Times New Roman" w:hAnsi="Times New Roman" w:cs="Times New Roman"/>
          <w:b/>
          <w:sz w:val="24"/>
          <w:szCs w:val="24"/>
        </w:rPr>
      </w:pPr>
    </w:p>
    <w:p w:rsidR="00B46D2F" w:rsidRDefault="00B46D2F">
      <w:pPr>
        <w:rPr>
          <w:rFonts w:ascii="Times New Roman" w:hAnsi="Times New Roman" w:cs="Times New Roman"/>
          <w:b/>
        </w:rPr>
      </w:pPr>
    </w:p>
    <w:p w:rsidR="00782571" w:rsidRDefault="0068236E" w:rsidP="00F154C8">
      <w:pPr>
        <w:autoSpaceDE w:val="0"/>
        <w:autoSpaceDN w:val="0"/>
        <w:adjustRightInd w:val="0"/>
        <w:spacing w:after="0" w:line="240" w:lineRule="auto"/>
        <w:jc w:val="both"/>
        <w:rPr>
          <w:rFonts w:ascii="Times New Roman" w:hAnsi="Times New Roman" w:cs="Times New Roman"/>
          <w:b/>
        </w:rPr>
      </w:pPr>
      <w:r>
        <w:rPr>
          <w:noProof/>
        </w:rPr>
        <w:drawing>
          <wp:inline distT="0" distB="0" distL="0" distR="0" wp14:anchorId="65C1B8E1" wp14:editId="3589AB83">
            <wp:extent cx="6115050" cy="4225290"/>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236E" w:rsidRDefault="0068236E" w:rsidP="00F154C8">
      <w:pPr>
        <w:autoSpaceDE w:val="0"/>
        <w:autoSpaceDN w:val="0"/>
        <w:adjustRightInd w:val="0"/>
        <w:spacing w:after="0" w:line="240" w:lineRule="auto"/>
        <w:jc w:val="both"/>
        <w:rPr>
          <w:rFonts w:ascii="Times New Roman" w:hAnsi="Times New Roman" w:cs="Times New Roman"/>
          <w:b/>
        </w:rPr>
      </w:pPr>
    </w:p>
    <w:p w:rsidR="00251841" w:rsidRDefault="00251841" w:rsidP="00F154C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Please note the expense summation above shows a very efficient structure with &gt;92</w:t>
      </w:r>
      <w:r w:rsidR="00B46D2F">
        <w:rPr>
          <w:rFonts w:ascii="Times New Roman" w:hAnsi="Times New Roman" w:cs="Times New Roman"/>
          <w:b/>
        </w:rPr>
        <w:t>.5</w:t>
      </w:r>
      <w:r>
        <w:rPr>
          <w:rFonts w:ascii="Times New Roman" w:hAnsi="Times New Roman" w:cs="Times New Roman"/>
          <w:b/>
        </w:rPr>
        <w:t>% of expenses going to pay claims.</w:t>
      </w:r>
    </w:p>
    <w:p w:rsidR="00251841" w:rsidRDefault="00251841" w:rsidP="00F154C8">
      <w:pPr>
        <w:autoSpaceDE w:val="0"/>
        <w:autoSpaceDN w:val="0"/>
        <w:adjustRightInd w:val="0"/>
        <w:spacing w:after="0" w:line="240" w:lineRule="auto"/>
        <w:jc w:val="both"/>
        <w:rPr>
          <w:rFonts w:ascii="Times New Roman" w:hAnsi="Times New Roman" w:cs="Times New Roman"/>
          <w:b/>
        </w:rPr>
      </w:pPr>
    </w:p>
    <w:p w:rsidR="0099671F" w:rsidRDefault="0099671F">
      <w:pPr>
        <w:rPr>
          <w:rFonts w:ascii="Times New Roman" w:hAnsi="Times New Roman" w:cs="Times New Roman"/>
          <w:b/>
        </w:rPr>
      </w:pPr>
      <w:r>
        <w:rPr>
          <w:rFonts w:ascii="Times New Roman" w:hAnsi="Times New Roman" w:cs="Times New Roman"/>
          <w:b/>
        </w:rPr>
        <w:br w:type="page"/>
      </w:r>
    </w:p>
    <w:p w:rsidR="00A122CA" w:rsidRPr="00C4219F" w:rsidRDefault="00A122CA" w:rsidP="00F154C8">
      <w:pPr>
        <w:autoSpaceDE w:val="0"/>
        <w:autoSpaceDN w:val="0"/>
        <w:adjustRightInd w:val="0"/>
        <w:spacing w:after="0" w:line="240" w:lineRule="auto"/>
        <w:jc w:val="both"/>
        <w:rPr>
          <w:rFonts w:ascii="Times New Roman" w:hAnsi="Times New Roman" w:cs="Times New Roman"/>
          <w:b/>
        </w:rPr>
      </w:pPr>
      <w:r w:rsidRPr="00C4219F">
        <w:rPr>
          <w:rFonts w:ascii="Times New Roman" w:hAnsi="Times New Roman" w:cs="Times New Roman"/>
          <w:b/>
        </w:rPr>
        <w:lastRenderedPageBreak/>
        <w:t>Reserving for the Future:</w:t>
      </w:r>
    </w:p>
    <w:p w:rsidR="00391980" w:rsidRPr="00C4219F" w:rsidRDefault="00391980" w:rsidP="00F154C8">
      <w:pPr>
        <w:autoSpaceDE w:val="0"/>
        <w:autoSpaceDN w:val="0"/>
        <w:adjustRightInd w:val="0"/>
        <w:spacing w:after="0" w:line="240" w:lineRule="auto"/>
        <w:jc w:val="both"/>
        <w:rPr>
          <w:rFonts w:ascii="Times New Roman" w:hAnsi="Times New Roman" w:cs="Times New Roman"/>
          <w:sz w:val="24"/>
          <w:szCs w:val="24"/>
        </w:rPr>
      </w:pPr>
    </w:p>
    <w:p w:rsidR="0068236E" w:rsidRDefault="00A122CA" w:rsidP="00F154C8">
      <w:pPr>
        <w:autoSpaceDE w:val="0"/>
        <w:autoSpaceDN w:val="0"/>
        <w:adjustRightInd w:val="0"/>
        <w:spacing w:after="0" w:line="240" w:lineRule="auto"/>
        <w:jc w:val="both"/>
        <w:rPr>
          <w:rFonts w:ascii="Times New Roman" w:hAnsi="Times New Roman" w:cs="Times New Roman"/>
        </w:rPr>
      </w:pPr>
      <w:r w:rsidRPr="00C4219F">
        <w:rPr>
          <w:rFonts w:ascii="Times New Roman" w:hAnsi="Times New Roman" w:cs="Times New Roman"/>
        </w:rPr>
        <w:t xml:space="preserve">Article 47 </w:t>
      </w:r>
      <w:r w:rsidR="0068236E">
        <w:rPr>
          <w:rFonts w:ascii="Times New Roman" w:hAnsi="Times New Roman" w:cs="Times New Roman"/>
        </w:rPr>
        <w:t xml:space="preserve">of the New York State Insurance Law </w:t>
      </w:r>
      <w:r w:rsidRPr="00C4219F">
        <w:rPr>
          <w:rFonts w:ascii="Times New Roman" w:hAnsi="Times New Roman" w:cs="Times New Roman"/>
        </w:rPr>
        <w:t xml:space="preserve">requires its certificate holders to </w:t>
      </w:r>
      <w:r w:rsidR="0068236E">
        <w:rPr>
          <w:rFonts w:ascii="Times New Roman" w:hAnsi="Times New Roman" w:cs="Times New Roman"/>
        </w:rPr>
        <w:t>maintain</w:t>
      </w:r>
      <w:r w:rsidRPr="00C4219F">
        <w:rPr>
          <w:rFonts w:ascii="Times New Roman" w:hAnsi="Times New Roman" w:cs="Times New Roman"/>
        </w:rPr>
        <w:t xml:space="preserve"> a Surplus Reserve equal to 5% of premiums </w:t>
      </w:r>
      <w:r w:rsidR="0068236E">
        <w:rPr>
          <w:rFonts w:ascii="Times New Roman" w:hAnsi="Times New Roman" w:cs="Times New Roman"/>
        </w:rPr>
        <w:t>each year.  In addition, this legislation requires municipal cooperative health benefit plans to maintain a</w:t>
      </w:r>
      <w:r w:rsidRPr="00C4219F">
        <w:rPr>
          <w:rFonts w:ascii="Times New Roman" w:hAnsi="Times New Roman" w:cs="Times New Roman"/>
        </w:rPr>
        <w:t xml:space="preserve">n Incurred </w:t>
      </w:r>
      <w:proofErr w:type="gramStart"/>
      <w:r w:rsidRPr="00C4219F">
        <w:rPr>
          <w:rFonts w:ascii="Times New Roman" w:hAnsi="Times New Roman" w:cs="Times New Roman"/>
        </w:rPr>
        <w:t>But</w:t>
      </w:r>
      <w:proofErr w:type="gramEnd"/>
      <w:r w:rsidRPr="00C4219F">
        <w:rPr>
          <w:rFonts w:ascii="Times New Roman" w:hAnsi="Times New Roman" w:cs="Times New Roman"/>
        </w:rPr>
        <w:t xml:space="preserve"> Not Reported Claims (IBNR) Reserve </w:t>
      </w:r>
      <w:r w:rsidR="00B61178" w:rsidRPr="00C4219F">
        <w:rPr>
          <w:rFonts w:ascii="Times New Roman" w:hAnsi="Times New Roman" w:cs="Times New Roman"/>
        </w:rPr>
        <w:t xml:space="preserve">of 12% of the </w:t>
      </w:r>
      <w:r w:rsidR="0068236E">
        <w:rPr>
          <w:rFonts w:ascii="Times New Roman" w:hAnsi="Times New Roman" w:cs="Times New Roman"/>
        </w:rPr>
        <w:t xml:space="preserve">expected </w:t>
      </w:r>
      <w:r w:rsidR="00B61178" w:rsidRPr="00C4219F">
        <w:rPr>
          <w:rFonts w:ascii="Times New Roman" w:hAnsi="Times New Roman" w:cs="Times New Roman"/>
        </w:rPr>
        <w:t>paid claims</w:t>
      </w:r>
      <w:r w:rsidR="0068236E">
        <w:rPr>
          <w:rFonts w:ascii="Times New Roman" w:hAnsi="Times New Roman" w:cs="Times New Roman"/>
        </w:rPr>
        <w:t xml:space="preserve"> each year</w:t>
      </w:r>
      <w:r w:rsidR="00B61178" w:rsidRPr="00C4219F">
        <w:rPr>
          <w:rFonts w:ascii="Times New Roman" w:hAnsi="Times New Roman" w:cs="Times New Roman"/>
        </w:rPr>
        <w:t xml:space="preserve">.  </w:t>
      </w:r>
    </w:p>
    <w:p w:rsidR="0068236E" w:rsidRDefault="0068236E" w:rsidP="00F154C8">
      <w:pPr>
        <w:autoSpaceDE w:val="0"/>
        <w:autoSpaceDN w:val="0"/>
        <w:adjustRightInd w:val="0"/>
        <w:spacing w:after="0" w:line="240" w:lineRule="auto"/>
        <w:jc w:val="both"/>
        <w:rPr>
          <w:rFonts w:ascii="Times New Roman" w:hAnsi="Times New Roman" w:cs="Times New Roman"/>
        </w:rPr>
      </w:pPr>
    </w:p>
    <w:p w:rsidR="00A122CA" w:rsidRDefault="0068236E" w:rsidP="00F154C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 an effort to add more protection and stability to the Consortium’s financial position, in</w:t>
      </w:r>
      <w:r w:rsidR="00532AC4">
        <w:rPr>
          <w:rFonts w:ascii="Times New Roman" w:hAnsi="Times New Roman" w:cs="Times New Roman"/>
        </w:rPr>
        <w:t xml:space="preserve"> 201</w:t>
      </w:r>
      <w:r w:rsidR="007A1459">
        <w:rPr>
          <w:rFonts w:ascii="Times New Roman" w:hAnsi="Times New Roman" w:cs="Times New Roman"/>
        </w:rPr>
        <w:t>3</w:t>
      </w:r>
      <w:r w:rsidR="00A122CA" w:rsidRPr="00C4219F">
        <w:rPr>
          <w:rFonts w:ascii="Times New Roman" w:hAnsi="Times New Roman" w:cs="Times New Roman"/>
        </w:rPr>
        <w:t xml:space="preserve"> the Board of Directors established a “Ca</w:t>
      </w:r>
      <w:r w:rsidR="00532AC4">
        <w:rPr>
          <w:rFonts w:ascii="Times New Roman" w:hAnsi="Times New Roman" w:cs="Times New Roman"/>
        </w:rPr>
        <w:t xml:space="preserve">tastrophic Claims Reserve” </w:t>
      </w:r>
      <w:r w:rsidR="007A1459">
        <w:rPr>
          <w:rFonts w:ascii="Times New Roman" w:hAnsi="Times New Roman" w:cs="Times New Roman"/>
        </w:rPr>
        <w:t xml:space="preserve">which equaled </w:t>
      </w:r>
      <w:r w:rsidR="00532AC4">
        <w:rPr>
          <w:rFonts w:ascii="Times New Roman" w:hAnsi="Times New Roman" w:cs="Times New Roman"/>
        </w:rPr>
        <w:t>$1,05</w:t>
      </w:r>
      <w:r w:rsidR="00A122CA" w:rsidRPr="00C4219F">
        <w:rPr>
          <w:rFonts w:ascii="Times New Roman" w:hAnsi="Times New Roman" w:cs="Times New Roman"/>
        </w:rPr>
        <w:t xml:space="preserve">0,000 </w:t>
      </w:r>
      <w:r w:rsidR="007A1459">
        <w:rPr>
          <w:rFonts w:ascii="Times New Roman" w:hAnsi="Times New Roman" w:cs="Times New Roman"/>
        </w:rPr>
        <w:t xml:space="preserve">in 2015. This reserve was established </w:t>
      </w:r>
      <w:r w:rsidR="00A122CA" w:rsidRPr="00C4219F">
        <w:rPr>
          <w:rFonts w:ascii="Times New Roman" w:hAnsi="Times New Roman" w:cs="Times New Roman"/>
        </w:rPr>
        <w:t>to</w:t>
      </w:r>
      <w:r w:rsidR="00912412" w:rsidRPr="00C4219F">
        <w:rPr>
          <w:rFonts w:ascii="Times New Roman" w:hAnsi="Times New Roman" w:cs="Times New Roman"/>
        </w:rPr>
        <w:t xml:space="preserve"> provide resources for the risk of retaining </w:t>
      </w:r>
      <w:r w:rsidR="00532AC4">
        <w:rPr>
          <w:rFonts w:ascii="Times New Roman" w:hAnsi="Times New Roman" w:cs="Times New Roman"/>
        </w:rPr>
        <w:t>$10</w:t>
      </w:r>
      <w:r w:rsidR="007A1459">
        <w:rPr>
          <w:rFonts w:ascii="Times New Roman" w:hAnsi="Times New Roman" w:cs="Times New Roman"/>
        </w:rPr>
        <w:t xml:space="preserve">0,000 more of claim costs associated with </w:t>
      </w:r>
      <w:r w:rsidR="00B61178" w:rsidRPr="00C4219F">
        <w:rPr>
          <w:rFonts w:ascii="Times New Roman" w:hAnsi="Times New Roman" w:cs="Times New Roman"/>
        </w:rPr>
        <w:t xml:space="preserve">increasing </w:t>
      </w:r>
      <w:r w:rsidR="007A1459">
        <w:rPr>
          <w:rFonts w:ascii="Times New Roman" w:hAnsi="Times New Roman" w:cs="Times New Roman"/>
        </w:rPr>
        <w:t xml:space="preserve">the specific stop-loss insurance deductible </w:t>
      </w:r>
      <w:r w:rsidR="00912412" w:rsidRPr="00C4219F">
        <w:rPr>
          <w:rFonts w:ascii="Times New Roman" w:hAnsi="Times New Roman" w:cs="Times New Roman"/>
        </w:rPr>
        <w:t>to $</w:t>
      </w:r>
      <w:r w:rsidR="00532AC4">
        <w:rPr>
          <w:rFonts w:ascii="Times New Roman" w:hAnsi="Times New Roman" w:cs="Times New Roman"/>
        </w:rPr>
        <w:t>4</w:t>
      </w:r>
      <w:r w:rsidR="00B61178" w:rsidRPr="00C4219F">
        <w:rPr>
          <w:rFonts w:ascii="Times New Roman" w:hAnsi="Times New Roman" w:cs="Times New Roman"/>
        </w:rPr>
        <w:t>0</w:t>
      </w:r>
      <w:r w:rsidR="00337A48">
        <w:rPr>
          <w:rFonts w:ascii="Times New Roman" w:hAnsi="Times New Roman" w:cs="Times New Roman"/>
        </w:rPr>
        <w:t>0,</w:t>
      </w:r>
      <w:r w:rsidR="00912412" w:rsidRPr="00C4219F">
        <w:rPr>
          <w:rFonts w:ascii="Times New Roman" w:hAnsi="Times New Roman" w:cs="Times New Roman"/>
        </w:rPr>
        <w:t xml:space="preserve">000 </w:t>
      </w:r>
      <w:r w:rsidR="00E867A6">
        <w:rPr>
          <w:rFonts w:ascii="Times New Roman" w:hAnsi="Times New Roman" w:cs="Times New Roman"/>
        </w:rPr>
        <w:t>per covered life for the contract period (claims incurred annually from January to December and paid from January to March of the next year).</w:t>
      </w:r>
    </w:p>
    <w:p w:rsidR="00E867A6" w:rsidRDefault="00E867A6" w:rsidP="00F154C8">
      <w:pPr>
        <w:autoSpaceDE w:val="0"/>
        <w:autoSpaceDN w:val="0"/>
        <w:adjustRightInd w:val="0"/>
        <w:spacing w:after="0" w:line="240" w:lineRule="auto"/>
        <w:jc w:val="both"/>
        <w:rPr>
          <w:rFonts w:ascii="Times New Roman" w:hAnsi="Times New Roman" w:cs="Times New Roman"/>
        </w:rPr>
      </w:pPr>
    </w:p>
    <w:p w:rsidR="00E867A6" w:rsidRDefault="00E867A6" w:rsidP="00F154C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As a result of the positive financial position the Consortium has developed over the last several years, the Board of Directors looked to further strengthen the Consortium’s long-range financial position by establishing a rate stabilization reserve set at 5% of the expected claims cost for the year.  This reserve is available to be used to off-set those times when the paid claims exceed the expected result and provide the Consortium </w:t>
      </w:r>
      <w:r w:rsidR="00366175">
        <w:rPr>
          <w:rFonts w:ascii="Times New Roman" w:hAnsi="Times New Roman" w:cs="Times New Roman"/>
        </w:rPr>
        <w:t>with time to build a financial plan to recover from unexpected losses.</w:t>
      </w:r>
    </w:p>
    <w:p w:rsidR="00512BFD" w:rsidRDefault="00512BFD" w:rsidP="00F154C8">
      <w:pPr>
        <w:autoSpaceDE w:val="0"/>
        <w:autoSpaceDN w:val="0"/>
        <w:adjustRightInd w:val="0"/>
        <w:spacing w:after="0" w:line="240" w:lineRule="auto"/>
        <w:jc w:val="both"/>
        <w:rPr>
          <w:rFonts w:ascii="Times New Roman" w:hAnsi="Times New Roman" w:cs="Times New Roman"/>
        </w:rPr>
      </w:pPr>
    </w:p>
    <w:p w:rsidR="00C4219F" w:rsidRDefault="00673D42" w:rsidP="006701D2">
      <w:pPr>
        <w:autoSpaceDE w:val="0"/>
        <w:autoSpaceDN w:val="0"/>
        <w:adjustRightInd w:val="0"/>
        <w:spacing w:after="0"/>
        <w:ind w:left="-450" w:right="-450"/>
        <w:jc w:val="center"/>
        <w:rPr>
          <w:rFonts w:ascii="Times New Roman" w:hAnsi="Times New Roman" w:cs="Times New Roman"/>
          <w:sz w:val="24"/>
          <w:szCs w:val="24"/>
        </w:rPr>
      </w:pPr>
      <w:r>
        <w:rPr>
          <w:noProof/>
        </w:rPr>
        <w:drawing>
          <wp:inline distT="0" distB="0" distL="0" distR="0" wp14:anchorId="65B3AA02" wp14:editId="5E3AB63A">
            <wp:extent cx="6115050" cy="4725035"/>
            <wp:effectExtent l="0" t="0" r="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7E7A" w:rsidRDefault="00C4219F" w:rsidP="00B66A0B">
      <w:pPr>
        <w:autoSpaceDE w:val="0"/>
        <w:autoSpaceDN w:val="0"/>
        <w:adjustRightInd w:val="0"/>
        <w:spacing w:after="0"/>
        <w:ind w:left="-450" w:right="-450"/>
        <w:rPr>
          <w:rFonts w:ascii="Times New Roman" w:hAnsi="Times New Roman" w:cs="Times New Roman"/>
        </w:rPr>
      </w:pPr>
      <w:r w:rsidRPr="00C4219F">
        <w:rPr>
          <w:rFonts w:ascii="Times New Roman" w:hAnsi="Times New Roman" w:cs="Times New Roman"/>
        </w:rPr>
        <w:tab/>
      </w:r>
    </w:p>
    <w:p w:rsidR="0099671F" w:rsidRDefault="0099671F">
      <w:pPr>
        <w:rPr>
          <w:rFonts w:ascii="Times New Roman" w:hAnsi="Times New Roman" w:cs="Times New Roman"/>
          <w:b/>
        </w:rPr>
      </w:pPr>
      <w:r>
        <w:rPr>
          <w:rFonts w:ascii="Times New Roman" w:hAnsi="Times New Roman" w:cs="Times New Roman"/>
          <w:b/>
        </w:rPr>
        <w:br w:type="page"/>
      </w:r>
    </w:p>
    <w:p w:rsidR="003E0B87" w:rsidRPr="003E0B87" w:rsidRDefault="00060378" w:rsidP="003E0B87">
      <w:pPr>
        <w:autoSpaceDE w:val="0"/>
        <w:autoSpaceDN w:val="0"/>
        <w:adjustRightInd w:val="0"/>
        <w:spacing w:after="0"/>
        <w:ind w:left="-450" w:right="-450"/>
        <w:rPr>
          <w:rFonts w:ascii="Times New Roman" w:hAnsi="Times New Roman" w:cs="Times New Roman"/>
          <w:b/>
        </w:rPr>
      </w:pPr>
      <w:r w:rsidRPr="00C4219F">
        <w:rPr>
          <w:rFonts w:ascii="Times New Roman" w:hAnsi="Times New Roman" w:cs="Times New Roman"/>
          <w:b/>
        </w:rPr>
        <w:lastRenderedPageBreak/>
        <w:t>Economic Factors</w:t>
      </w:r>
      <w:r w:rsidR="00391980" w:rsidRPr="00C4219F">
        <w:rPr>
          <w:rFonts w:ascii="Times New Roman" w:hAnsi="Times New Roman" w:cs="Times New Roman"/>
          <w:b/>
        </w:rPr>
        <w:t xml:space="preserve"> Affecting the Future</w:t>
      </w:r>
      <w:r w:rsidRPr="00C4219F">
        <w:rPr>
          <w:rFonts w:ascii="Times New Roman" w:hAnsi="Times New Roman" w:cs="Times New Roman"/>
          <w:b/>
        </w:rPr>
        <w:t>:</w:t>
      </w:r>
    </w:p>
    <w:p w:rsidR="00366175" w:rsidRDefault="00366175" w:rsidP="00366175">
      <w:pPr>
        <w:spacing w:after="0" w:line="240" w:lineRule="auto"/>
        <w:ind w:left="360"/>
        <w:jc w:val="both"/>
        <w:rPr>
          <w:rFonts w:ascii="Times New Roman" w:hAnsi="Times New Roman" w:cs="Times New Roman"/>
        </w:rPr>
      </w:pPr>
    </w:p>
    <w:p w:rsidR="003E0B87" w:rsidRPr="003E0B87" w:rsidRDefault="003E0B87" w:rsidP="003E0B87">
      <w:pPr>
        <w:numPr>
          <w:ilvl w:val="0"/>
          <w:numId w:val="1"/>
        </w:numPr>
        <w:spacing w:after="0" w:line="240" w:lineRule="auto"/>
        <w:jc w:val="both"/>
        <w:rPr>
          <w:rFonts w:ascii="Times New Roman" w:hAnsi="Times New Roman" w:cs="Times New Roman"/>
        </w:rPr>
      </w:pPr>
      <w:r w:rsidRPr="003E0B87">
        <w:rPr>
          <w:rFonts w:ascii="Times New Roman" w:hAnsi="Times New Roman" w:cs="Times New Roman"/>
        </w:rPr>
        <w:t xml:space="preserve">Prior to the start of the 2015 Fiscal Year, the Consortium renewed its specific stop-loss insurance with an increased deductible level of $400,000 in an effort to keep the premium increase at a reasonable level. This increased deductible does create an additional level of risk associated with the Consortium’s operations. However, the Consortium experienced fewer catastrophic losses in 2013 and 2014. This contributed to the better than expected paid claims result which allowed the Consortium Board of Directors to establish and maintain a Catastrophic Claims Reserve to help off-set the increased risk associated with the higher deductible on the specific stop-loss insurance. For 2014 the Catastrophic Claims Reserve was established at approximately $600,000 to create financial resources when the Consortium Board increased its specific stop-loss risk retention from $250,000 to $300,000.  During the 2015 budget development process which occurred in the </w:t>
      </w:r>
      <w:proofErr w:type="gramStart"/>
      <w:r w:rsidRPr="003E0B87">
        <w:rPr>
          <w:rFonts w:ascii="Times New Roman" w:hAnsi="Times New Roman" w:cs="Times New Roman"/>
        </w:rPr>
        <w:t>Fall</w:t>
      </w:r>
      <w:proofErr w:type="gramEnd"/>
      <w:r w:rsidRPr="003E0B87">
        <w:rPr>
          <w:rFonts w:ascii="Times New Roman" w:hAnsi="Times New Roman" w:cs="Times New Roman"/>
        </w:rPr>
        <w:t xml:space="preserve"> of 2014, the Board of Directors again agreed to increase the specific stop-loss insurance deductible to its current level of $400,000.  This resulted in an additional increase in exposure and a lower premium expense.  To help protect the Consortium’s financial position, the Board of Directors voted to increase the Catastrophic Claims Reserve to $1,050,000 for the 2015 Fiscal Year.  The Board has since agreed to continue to fund this reserve at the $1,050,000 level for the 2016 Fiscal Year.  This is an area which will be reviewed by the Board of Directors on an annual basis to ensure a tolerable balance is achieved between the risk and cost of the stop-loss insurance.</w:t>
      </w:r>
    </w:p>
    <w:p w:rsidR="00366175" w:rsidRDefault="00366175" w:rsidP="00366175">
      <w:pPr>
        <w:spacing w:after="0" w:line="240" w:lineRule="auto"/>
        <w:ind w:left="360"/>
        <w:jc w:val="both"/>
        <w:rPr>
          <w:rFonts w:ascii="Times New Roman" w:hAnsi="Times New Roman" w:cs="Times New Roman"/>
        </w:rPr>
      </w:pPr>
    </w:p>
    <w:p w:rsidR="003E0B87" w:rsidRPr="003E0B87" w:rsidRDefault="003E0B87" w:rsidP="003E0B87">
      <w:pPr>
        <w:numPr>
          <w:ilvl w:val="0"/>
          <w:numId w:val="1"/>
        </w:numPr>
        <w:spacing w:after="0" w:line="240" w:lineRule="auto"/>
        <w:jc w:val="both"/>
        <w:rPr>
          <w:rFonts w:ascii="Times New Roman" w:hAnsi="Times New Roman" w:cs="Times New Roman"/>
        </w:rPr>
      </w:pPr>
      <w:r w:rsidRPr="003E0B87">
        <w:rPr>
          <w:rFonts w:ascii="Times New Roman" w:hAnsi="Times New Roman" w:cs="Times New Roman"/>
        </w:rPr>
        <w:t>With the better than expected paid claims and expense results associated with the Consortium for the past couple of fiscal periods, the Board of Directors made the decision to establish a Claims/Rate Stabilization Reserve to further protect the Consortium’s cash flow and provide additional financial stability.  These funds will be used when claim projections are exceeded to mitigate spikes of premium rate increases.  The goal of the Consortium is to maintain reasonable, prudent, and modest premium increases for the foreseeable future.</w:t>
      </w:r>
    </w:p>
    <w:p w:rsidR="0099671F" w:rsidRDefault="0099671F" w:rsidP="0099671F">
      <w:pPr>
        <w:spacing w:after="0" w:line="240" w:lineRule="auto"/>
        <w:ind w:left="360"/>
        <w:jc w:val="both"/>
        <w:rPr>
          <w:rFonts w:ascii="Times New Roman" w:hAnsi="Times New Roman" w:cs="Times New Roman"/>
        </w:rPr>
      </w:pPr>
    </w:p>
    <w:p w:rsidR="003E0B87" w:rsidRPr="003E0B87" w:rsidRDefault="003E0B87" w:rsidP="003E0B87">
      <w:pPr>
        <w:numPr>
          <w:ilvl w:val="0"/>
          <w:numId w:val="1"/>
        </w:numPr>
        <w:spacing w:after="0" w:line="240" w:lineRule="auto"/>
        <w:jc w:val="both"/>
        <w:rPr>
          <w:rFonts w:ascii="Times New Roman" w:hAnsi="Times New Roman" w:cs="Times New Roman"/>
        </w:rPr>
      </w:pPr>
      <w:r w:rsidRPr="003E0B87">
        <w:rPr>
          <w:rFonts w:ascii="Times New Roman" w:hAnsi="Times New Roman" w:cs="Times New Roman"/>
        </w:rPr>
        <w:t>The Affordable Care Act’s (ACA’s) ongoing implementation has resulted in some increased costs to the Consortium with the payment of the Patient Centered Outcomes Research Institute (PCORI) Fee in the amount of $4,448 related to the 2012 Fiscal Year. This fee more than doubled in cost with the $10,252.46 payment made during the 2014 Fiscal Year for 2013 Fee which was paid in July 2014. Starting with the 2014 PCORI fee, this fee will continue to increase each year by an inflationary escalator as determined by the United States Internal Revenue Service until the fee is no longer applicable in 2019. The increase in 2015 was 4% which required the Consortium to pay $10,773.00 during the 2015 Fiscal Year.  In addition to the PCORI fee, in 2014, the Consortium was subject to the ACA Transitional Reinsurance Program Fee which required the Consortium to pay $316,764 during the fiscal year and another $221,100 in the 2015 Fiscal Year. This additional ACA fee will cost the Consortium an additional $138,187.50 in the 2016 Fiscal Year, which is the last year of this particular ACA fee.</w:t>
      </w:r>
    </w:p>
    <w:p w:rsidR="003E0B87" w:rsidRPr="003E0B87" w:rsidRDefault="003E0B87" w:rsidP="003E0B87">
      <w:pPr>
        <w:pStyle w:val="ListParagraph"/>
        <w:rPr>
          <w:sz w:val="22"/>
          <w:szCs w:val="22"/>
        </w:rPr>
      </w:pPr>
    </w:p>
    <w:p w:rsidR="003E0B87" w:rsidRPr="003E0B87" w:rsidRDefault="003E0B87" w:rsidP="003E0B87">
      <w:pPr>
        <w:numPr>
          <w:ilvl w:val="0"/>
          <w:numId w:val="1"/>
        </w:numPr>
        <w:spacing w:after="0" w:line="240" w:lineRule="auto"/>
        <w:jc w:val="both"/>
        <w:rPr>
          <w:rFonts w:ascii="Times New Roman" w:hAnsi="Times New Roman" w:cs="Times New Roman"/>
        </w:rPr>
      </w:pPr>
      <w:r w:rsidRPr="003E0B87">
        <w:rPr>
          <w:rFonts w:ascii="Times New Roman" w:hAnsi="Times New Roman" w:cs="Times New Roman"/>
        </w:rPr>
        <w:t>The Board of Directors is also keeping a close eye on the affects continuing decreases in Medicare and Medicaid reimbursements to medical facilities and practitioners will have on the Consortium’s paid claims expenses.  The main concern is that these same providers of care will seek higher reimbursements from the third party administrators and insurance companies to make up for the losses in Medicare and Medicaid revenue.  It is likely that these pressures will lead to contentious negotiations on network reimbursement rates which could also impact the overall provider network.  Although the Consortium does not foresee any immediate financial issues related to this situation, the Board of Directors will continue to monitor paid claims and other data to ensure they make well informed and educated decisions regarding the financial structure of the plans.</w:t>
      </w:r>
    </w:p>
    <w:p w:rsidR="0099671F" w:rsidRDefault="0099671F">
      <w:pPr>
        <w:rPr>
          <w:rFonts w:ascii="Times New Roman" w:eastAsia="Times New Roman" w:hAnsi="Times New Roman" w:cs="Times New Roman"/>
        </w:rPr>
      </w:pPr>
      <w:r>
        <w:br w:type="page"/>
      </w:r>
    </w:p>
    <w:p w:rsidR="003E0B87" w:rsidRPr="003E0B87" w:rsidRDefault="003E0B87" w:rsidP="003E0B87">
      <w:pPr>
        <w:numPr>
          <w:ilvl w:val="0"/>
          <w:numId w:val="1"/>
        </w:numPr>
        <w:spacing w:after="0" w:line="240" w:lineRule="auto"/>
        <w:jc w:val="both"/>
        <w:rPr>
          <w:rFonts w:ascii="Times New Roman" w:hAnsi="Times New Roman" w:cs="Times New Roman"/>
        </w:rPr>
      </w:pPr>
      <w:r w:rsidRPr="003E0B87">
        <w:rPr>
          <w:rFonts w:ascii="Times New Roman" w:hAnsi="Times New Roman" w:cs="Times New Roman"/>
        </w:rPr>
        <w:lastRenderedPageBreak/>
        <w:t xml:space="preserve">Another area which has drawn the attention of the Consortium’s Board of Directors is the significant increase in the cost of prescription medications on a per fill basis.  These increases are being seen across all tiers of medications with more significant growth in the generic drug class and even more substantial growth in the specialty pharmaceuticals purchased by covered members.  The Board of Directors will continue to work with </w:t>
      </w:r>
      <w:proofErr w:type="spellStart"/>
      <w:r w:rsidRPr="003E0B87">
        <w:rPr>
          <w:rFonts w:ascii="Times New Roman" w:hAnsi="Times New Roman" w:cs="Times New Roman"/>
        </w:rPr>
        <w:t>ProAct</w:t>
      </w:r>
      <w:proofErr w:type="spellEnd"/>
      <w:r w:rsidRPr="003E0B87">
        <w:rPr>
          <w:rFonts w:ascii="Times New Roman" w:hAnsi="Times New Roman" w:cs="Times New Roman"/>
        </w:rPr>
        <w:t>, Inc. and its other advisors to assess actions to mitigate the rate of growth in this area of the paid claims of the Consortium.</w:t>
      </w:r>
    </w:p>
    <w:p w:rsidR="003E0B87" w:rsidRPr="003E0B87" w:rsidRDefault="003E0B87" w:rsidP="003E0B87">
      <w:pPr>
        <w:pStyle w:val="ListParagraph"/>
        <w:rPr>
          <w:sz w:val="22"/>
          <w:szCs w:val="22"/>
        </w:rPr>
      </w:pPr>
    </w:p>
    <w:p w:rsidR="003E0B87" w:rsidRPr="003E0B87" w:rsidRDefault="003E0B87" w:rsidP="003E0B87">
      <w:pPr>
        <w:numPr>
          <w:ilvl w:val="0"/>
          <w:numId w:val="1"/>
        </w:numPr>
        <w:spacing w:after="0" w:line="240" w:lineRule="auto"/>
        <w:jc w:val="both"/>
        <w:rPr>
          <w:rFonts w:ascii="Times New Roman" w:hAnsi="Times New Roman" w:cs="Times New Roman"/>
        </w:rPr>
      </w:pPr>
      <w:r w:rsidRPr="003E0B87">
        <w:rPr>
          <w:rFonts w:ascii="Times New Roman" w:hAnsi="Times New Roman" w:cs="Times New Roman"/>
        </w:rPr>
        <w:t xml:space="preserve">The Consortium continues to see a decrease in actual Incurred </w:t>
      </w:r>
      <w:proofErr w:type="gramStart"/>
      <w:r w:rsidRPr="003E0B87">
        <w:rPr>
          <w:rFonts w:ascii="Times New Roman" w:hAnsi="Times New Roman" w:cs="Times New Roman"/>
        </w:rPr>
        <w:t>But</w:t>
      </w:r>
      <w:proofErr w:type="gramEnd"/>
      <w:r w:rsidRPr="003E0B87">
        <w:rPr>
          <w:rFonts w:ascii="Times New Roman" w:hAnsi="Times New Roman" w:cs="Times New Roman"/>
        </w:rPr>
        <w:t xml:space="preserve"> Not Reported (IBNR) actuarial findings.  For 2011, the Consortium’s calculated IBNR was 10.15% of paid claims.  The IBNR calculation for 2015 is 7.86%.  While this does not affect the mandated 12% of actual paid claims reserve required by the NYS Department of Financial Services, it does provide sound data that the 12% IBNR will not be increased in the foreseeable future.</w:t>
      </w:r>
    </w:p>
    <w:p w:rsidR="003E0B87" w:rsidRPr="003E0B87" w:rsidRDefault="003E0B87" w:rsidP="003E0B87">
      <w:pPr>
        <w:pStyle w:val="ListParagraph"/>
        <w:rPr>
          <w:sz w:val="22"/>
          <w:szCs w:val="22"/>
        </w:rPr>
      </w:pPr>
    </w:p>
    <w:p w:rsidR="003E0B87" w:rsidRPr="003E0B87" w:rsidRDefault="003E0B87" w:rsidP="003E0B87">
      <w:pPr>
        <w:numPr>
          <w:ilvl w:val="0"/>
          <w:numId w:val="1"/>
        </w:numPr>
        <w:spacing w:after="0" w:line="240" w:lineRule="auto"/>
        <w:jc w:val="both"/>
        <w:rPr>
          <w:rFonts w:ascii="Times New Roman" w:hAnsi="Times New Roman" w:cs="Times New Roman"/>
        </w:rPr>
      </w:pPr>
      <w:r w:rsidRPr="003E0B87">
        <w:rPr>
          <w:rFonts w:ascii="Times New Roman" w:hAnsi="Times New Roman" w:cs="Times New Roman"/>
        </w:rPr>
        <w:t xml:space="preserve">The Village of Homer plan joined the Plan on January 1, 2015 and the Town of Willet joined on May 1, 2015.  In addition on January 1, 2016, the Consortium added the Town of Marathon, the Town of Virgil, and the Town of </w:t>
      </w:r>
      <w:proofErr w:type="spellStart"/>
      <w:r w:rsidRPr="003E0B87">
        <w:rPr>
          <w:rFonts w:ascii="Times New Roman" w:hAnsi="Times New Roman" w:cs="Times New Roman"/>
        </w:rPr>
        <w:t>Truxton</w:t>
      </w:r>
      <w:proofErr w:type="spellEnd"/>
      <w:r w:rsidRPr="003E0B87">
        <w:rPr>
          <w:rFonts w:ascii="Times New Roman" w:hAnsi="Times New Roman" w:cs="Times New Roman"/>
        </w:rPr>
        <w:t xml:space="preserve">.  The Consortium continues to gain interest from neighboring municipalities as it gains more history and the word of the success of the program spreads. </w:t>
      </w:r>
    </w:p>
    <w:p w:rsidR="00B077EF" w:rsidRDefault="00B077EF">
      <w:pPr>
        <w:rPr>
          <w:rFonts w:ascii="Times New Roman" w:eastAsia="Times New Roman" w:hAnsi="Times New Roman" w:cs="Times New Roman"/>
        </w:rPr>
      </w:pPr>
      <w:r>
        <w:br w:type="page"/>
      </w:r>
    </w:p>
    <w:p w:rsidR="00060378" w:rsidRPr="00C4219F" w:rsidRDefault="00060378" w:rsidP="003054AE">
      <w:pPr>
        <w:autoSpaceDE w:val="0"/>
        <w:autoSpaceDN w:val="0"/>
        <w:adjustRightInd w:val="0"/>
        <w:spacing w:after="0"/>
        <w:rPr>
          <w:rFonts w:ascii="Times New Roman" w:hAnsi="Times New Roman" w:cs="Times New Roman"/>
          <w:b/>
          <w:sz w:val="24"/>
          <w:szCs w:val="24"/>
        </w:rPr>
      </w:pPr>
      <w:r w:rsidRPr="00C4219F">
        <w:rPr>
          <w:rFonts w:ascii="Times New Roman" w:hAnsi="Times New Roman" w:cs="Times New Roman"/>
          <w:b/>
          <w:sz w:val="24"/>
          <w:szCs w:val="24"/>
        </w:rPr>
        <w:lastRenderedPageBreak/>
        <w:t xml:space="preserve">Statement of </w:t>
      </w:r>
      <w:r w:rsidR="00027DAB" w:rsidRPr="00C4219F">
        <w:rPr>
          <w:rFonts w:ascii="Times New Roman" w:hAnsi="Times New Roman" w:cs="Times New Roman"/>
          <w:b/>
          <w:sz w:val="24"/>
          <w:szCs w:val="24"/>
        </w:rPr>
        <w:t>Position</w:t>
      </w:r>
    </w:p>
    <w:p w:rsidR="00B035DC" w:rsidRPr="006701D2" w:rsidRDefault="00B035DC" w:rsidP="00B035DC">
      <w:pPr>
        <w:autoSpaceDE w:val="0"/>
        <w:autoSpaceDN w:val="0"/>
        <w:adjustRightInd w:val="0"/>
        <w:spacing w:after="0" w:line="240" w:lineRule="auto"/>
        <w:jc w:val="center"/>
        <w:rPr>
          <w:rFonts w:ascii="Times New Roman" w:hAnsi="Times New Roman" w:cs="Times New Roman"/>
        </w:rPr>
      </w:pPr>
      <w:r w:rsidRPr="006701D2">
        <w:rPr>
          <w:rFonts w:ascii="Times New Roman" w:hAnsi="Times New Roman" w:cs="Times New Roman"/>
        </w:rPr>
        <w:t>Greater Tompkins County Municipal Health Insurance Consortium</w:t>
      </w:r>
    </w:p>
    <w:p w:rsidR="00B035DC" w:rsidRPr="006701D2" w:rsidRDefault="00B035DC" w:rsidP="00B035DC">
      <w:pPr>
        <w:autoSpaceDE w:val="0"/>
        <w:autoSpaceDN w:val="0"/>
        <w:adjustRightInd w:val="0"/>
        <w:spacing w:after="0" w:line="240" w:lineRule="auto"/>
        <w:jc w:val="center"/>
        <w:rPr>
          <w:rFonts w:ascii="Times New Roman" w:hAnsi="Times New Roman" w:cs="Times New Roman"/>
        </w:rPr>
      </w:pPr>
      <w:r w:rsidRPr="006701D2">
        <w:rPr>
          <w:rFonts w:ascii="Times New Roman" w:hAnsi="Times New Roman" w:cs="Times New Roman"/>
        </w:rPr>
        <w:t>Statements of Net Position</w:t>
      </w:r>
      <w:r w:rsidR="00C4219F" w:rsidRPr="006701D2">
        <w:rPr>
          <w:rFonts w:ascii="Times New Roman" w:hAnsi="Times New Roman" w:cs="Times New Roman"/>
        </w:rPr>
        <w:t xml:space="preserve"> - </w:t>
      </w:r>
      <w:r w:rsidRPr="006701D2">
        <w:rPr>
          <w:rFonts w:ascii="Times New Roman" w:hAnsi="Times New Roman" w:cs="Times New Roman"/>
        </w:rPr>
        <w:t>December 31,</w:t>
      </w:r>
    </w:p>
    <w:p w:rsidR="00B035DC" w:rsidRPr="00C4219F" w:rsidRDefault="00B035DC" w:rsidP="00B035DC">
      <w:pPr>
        <w:autoSpaceDE w:val="0"/>
        <w:autoSpaceDN w:val="0"/>
        <w:adjustRightInd w:val="0"/>
        <w:spacing w:after="0" w:line="240" w:lineRule="auto"/>
        <w:jc w:val="center"/>
        <w:rPr>
          <w:rFonts w:ascii="Times New Roman" w:hAnsi="Times New Roman" w:cs="Times New Roman"/>
          <w:sz w:val="24"/>
          <w:szCs w:val="24"/>
        </w:rPr>
      </w:pPr>
    </w:p>
    <w:tbl>
      <w:tblPr>
        <w:tblW w:w="10320" w:type="dxa"/>
        <w:tblInd w:w="-342" w:type="dxa"/>
        <w:tblLook w:val="04A0" w:firstRow="1" w:lastRow="0" w:firstColumn="1" w:lastColumn="0" w:noHBand="0" w:noVBand="1"/>
      </w:tblPr>
      <w:tblGrid>
        <w:gridCol w:w="6120"/>
        <w:gridCol w:w="2360"/>
        <w:gridCol w:w="1840"/>
      </w:tblGrid>
      <w:tr w:rsidR="00D34A8C" w:rsidRPr="00C4219F" w:rsidTr="00B035DC">
        <w:trPr>
          <w:trHeight w:val="302"/>
        </w:trPr>
        <w:tc>
          <w:tcPr>
            <w:tcW w:w="6120" w:type="dxa"/>
            <w:vMerge w:val="restart"/>
            <w:tcBorders>
              <w:top w:val="nil"/>
              <w:left w:val="nil"/>
              <w:bottom w:val="nil"/>
              <w:right w:val="nil"/>
            </w:tcBorders>
            <w:shd w:val="clear" w:color="auto" w:fill="auto"/>
            <w:vAlign w:val="bottom"/>
            <w:hideMark/>
          </w:tcPr>
          <w:p w:rsidR="00B035DC" w:rsidRPr="00C4219F" w:rsidRDefault="00B035DC" w:rsidP="00D34A8C">
            <w:pPr>
              <w:spacing w:after="0" w:line="240" w:lineRule="auto"/>
              <w:ind w:left="342"/>
              <w:rPr>
                <w:rFonts w:ascii="Times New Roman" w:eastAsia="Times New Roman" w:hAnsi="Times New Roman" w:cs="Times New Roman"/>
                <w:b/>
                <w:bCs/>
              </w:rPr>
            </w:pPr>
          </w:p>
          <w:p w:rsidR="00D34A8C" w:rsidRPr="00C4219F" w:rsidRDefault="00D34A8C" w:rsidP="00D34A8C">
            <w:pPr>
              <w:spacing w:after="0" w:line="240" w:lineRule="auto"/>
              <w:ind w:left="342"/>
              <w:rPr>
                <w:rFonts w:ascii="Times New Roman" w:eastAsia="Times New Roman" w:hAnsi="Times New Roman" w:cs="Times New Roman"/>
                <w:b/>
                <w:bCs/>
              </w:rPr>
            </w:pPr>
            <w:r w:rsidRPr="00C4219F">
              <w:rPr>
                <w:rFonts w:ascii="Times New Roman" w:eastAsia="Times New Roman" w:hAnsi="Times New Roman" w:cs="Times New Roman"/>
                <w:b/>
                <w:bCs/>
              </w:rPr>
              <w:t>ASSETS</w:t>
            </w:r>
            <w:r w:rsidRPr="00C4219F">
              <w:rPr>
                <w:rFonts w:ascii="Times New Roman" w:eastAsia="Times New Roman" w:hAnsi="Times New Roman" w:cs="Times New Roman"/>
                <w:b/>
                <w:bCs/>
              </w:rPr>
              <w:br/>
            </w:r>
            <w:r w:rsidR="00B035DC" w:rsidRPr="00C4219F">
              <w:rPr>
                <w:rFonts w:ascii="Times New Roman" w:eastAsia="Times New Roman" w:hAnsi="Times New Roman" w:cs="Times New Roman"/>
              </w:rPr>
              <w:t xml:space="preserve">   </w:t>
            </w:r>
            <w:r w:rsidRPr="00C4219F">
              <w:rPr>
                <w:rFonts w:ascii="Times New Roman" w:eastAsia="Times New Roman" w:hAnsi="Times New Roman" w:cs="Times New Roman"/>
              </w:rPr>
              <w:t>Current Assets:</w:t>
            </w:r>
          </w:p>
        </w:tc>
        <w:tc>
          <w:tcPr>
            <w:tcW w:w="2360" w:type="dxa"/>
            <w:tcBorders>
              <w:top w:val="nil"/>
              <w:left w:val="nil"/>
              <w:bottom w:val="single" w:sz="4" w:space="0" w:color="auto"/>
              <w:right w:val="nil"/>
            </w:tcBorders>
            <w:shd w:val="clear" w:color="auto" w:fill="auto"/>
            <w:vAlign w:val="bottom"/>
            <w:hideMark/>
          </w:tcPr>
          <w:p w:rsidR="00D34A8C" w:rsidRPr="00C4219F" w:rsidRDefault="00D34A8C" w:rsidP="00D34A8C">
            <w:pPr>
              <w:spacing w:after="0" w:line="240" w:lineRule="auto"/>
              <w:jc w:val="center"/>
              <w:rPr>
                <w:rFonts w:ascii="Times New Roman" w:eastAsia="Times New Roman" w:hAnsi="Times New Roman" w:cs="Times New Roman"/>
              </w:rPr>
            </w:pPr>
            <w:r w:rsidRPr="00C4219F">
              <w:rPr>
                <w:rFonts w:ascii="Times New Roman" w:eastAsia="Times New Roman" w:hAnsi="Times New Roman" w:cs="Times New Roman"/>
              </w:rPr>
              <w:t>2014</w:t>
            </w:r>
          </w:p>
        </w:tc>
        <w:tc>
          <w:tcPr>
            <w:tcW w:w="1840" w:type="dxa"/>
            <w:tcBorders>
              <w:top w:val="nil"/>
              <w:left w:val="nil"/>
              <w:bottom w:val="single" w:sz="4" w:space="0" w:color="auto"/>
              <w:right w:val="nil"/>
            </w:tcBorders>
            <w:shd w:val="clear" w:color="auto" w:fill="auto"/>
            <w:vAlign w:val="bottom"/>
            <w:hideMark/>
          </w:tcPr>
          <w:p w:rsidR="00D34A8C" w:rsidRPr="00C4219F" w:rsidRDefault="003E0B87" w:rsidP="00B035DC">
            <w:pPr>
              <w:spacing w:after="0" w:line="240" w:lineRule="auto"/>
              <w:ind w:firstLineChars="438" w:firstLine="964"/>
              <w:jc w:val="right"/>
              <w:rPr>
                <w:rFonts w:ascii="Times New Roman" w:eastAsia="Times New Roman" w:hAnsi="Times New Roman" w:cs="Times New Roman"/>
              </w:rPr>
            </w:pPr>
            <w:r>
              <w:rPr>
                <w:rFonts w:ascii="Times New Roman" w:eastAsia="Times New Roman" w:hAnsi="Times New Roman" w:cs="Times New Roman"/>
              </w:rPr>
              <w:t>2015</w:t>
            </w:r>
          </w:p>
        </w:tc>
      </w:tr>
      <w:tr w:rsidR="00D34A8C" w:rsidRPr="00C4219F" w:rsidTr="00B035DC">
        <w:trPr>
          <w:trHeight w:val="302"/>
        </w:trPr>
        <w:tc>
          <w:tcPr>
            <w:tcW w:w="6120" w:type="dxa"/>
            <w:vMerge/>
            <w:tcBorders>
              <w:top w:val="nil"/>
              <w:left w:val="nil"/>
              <w:bottom w:val="nil"/>
              <w:right w:val="nil"/>
            </w:tcBorders>
            <w:vAlign w:val="center"/>
            <w:hideMark/>
          </w:tcPr>
          <w:p w:rsidR="00D34A8C" w:rsidRPr="00C4219F" w:rsidRDefault="00D34A8C" w:rsidP="00D34A8C">
            <w:pPr>
              <w:spacing w:after="0" w:line="240" w:lineRule="auto"/>
              <w:rPr>
                <w:rFonts w:ascii="Times New Roman" w:eastAsia="Times New Roman" w:hAnsi="Times New Roman" w:cs="Times New Roman"/>
                <w:b/>
                <w:bCs/>
              </w:rPr>
            </w:pPr>
          </w:p>
        </w:tc>
        <w:tc>
          <w:tcPr>
            <w:tcW w:w="236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r w:rsidRPr="00C4219F">
              <w:rPr>
                <w:rFonts w:ascii="Times New Roman" w:eastAsia="Times New Roman" w:hAnsi="Times New Roman" w:cs="Times New Roman"/>
                <w:color w:val="000000"/>
              </w:rPr>
              <w:t> </w:t>
            </w:r>
          </w:p>
        </w:tc>
        <w:tc>
          <w:tcPr>
            <w:tcW w:w="184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r w:rsidRPr="00C4219F">
              <w:rPr>
                <w:rFonts w:ascii="Times New Roman" w:eastAsia="Times New Roman" w:hAnsi="Times New Roman" w:cs="Times New Roman"/>
                <w:color w:val="000000"/>
              </w:rPr>
              <w:t> </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500" w:firstLine="1100"/>
              <w:rPr>
                <w:rFonts w:ascii="Times New Roman" w:eastAsia="Times New Roman" w:hAnsi="Times New Roman" w:cs="Times New Roman"/>
              </w:rPr>
            </w:pPr>
            <w:r w:rsidRPr="00C4219F">
              <w:rPr>
                <w:rFonts w:ascii="Times New Roman" w:eastAsia="Times New Roman" w:hAnsi="Times New Roman" w:cs="Times New Roman"/>
              </w:rPr>
              <w:t>Cash and cash equivalents</w:t>
            </w:r>
          </w:p>
        </w:tc>
        <w:tc>
          <w:tcPr>
            <w:tcW w:w="236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$7,958,073</w:t>
            </w:r>
          </w:p>
        </w:tc>
        <w:tc>
          <w:tcPr>
            <w:tcW w:w="1840" w:type="dxa"/>
            <w:tcBorders>
              <w:top w:val="nil"/>
              <w:left w:val="nil"/>
              <w:bottom w:val="nil"/>
              <w:right w:val="nil"/>
            </w:tcBorders>
            <w:shd w:val="clear" w:color="auto" w:fill="auto"/>
            <w:vAlign w:val="center"/>
            <w:hideMark/>
          </w:tcPr>
          <w:p w:rsidR="00D34A8C" w:rsidRPr="00C4219F" w:rsidRDefault="00F51BF8"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$15,353,516</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500" w:firstLine="1100"/>
              <w:rPr>
                <w:rFonts w:ascii="Times New Roman" w:eastAsia="Times New Roman" w:hAnsi="Times New Roman" w:cs="Times New Roman"/>
              </w:rPr>
            </w:pPr>
            <w:r w:rsidRPr="00C4219F">
              <w:rPr>
                <w:rFonts w:ascii="Times New Roman" w:eastAsia="Times New Roman" w:hAnsi="Times New Roman" w:cs="Times New Roman"/>
              </w:rPr>
              <w:t>Accounts receivable - stop loss and drug rebates</w:t>
            </w:r>
          </w:p>
        </w:tc>
        <w:tc>
          <w:tcPr>
            <w:tcW w:w="236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540,237</w:t>
            </w:r>
          </w:p>
        </w:tc>
        <w:tc>
          <w:tcPr>
            <w:tcW w:w="1840" w:type="dxa"/>
            <w:tcBorders>
              <w:top w:val="nil"/>
              <w:left w:val="nil"/>
              <w:bottom w:val="nil"/>
              <w:right w:val="nil"/>
            </w:tcBorders>
            <w:shd w:val="clear" w:color="auto" w:fill="auto"/>
            <w:vAlign w:val="center"/>
            <w:hideMark/>
          </w:tcPr>
          <w:p w:rsidR="00D34A8C" w:rsidRPr="00C4219F" w:rsidRDefault="00F51BF8"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13,034</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E67A66">
            <w:pPr>
              <w:spacing w:after="0" w:line="240" w:lineRule="auto"/>
              <w:ind w:firstLineChars="500" w:firstLine="1100"/>
              <w:rPr>
                <w:rFonts w:ascii="Times New Roman" w:eastAsia="Times New Roman" w:hAnsi="Times New Roman" w:cs="Times New Roman"/>
              </w:rPr>
            </w:pPr>
            <w:r w:rsidRPr="00C4219F">
              <w:rPr>
                <w:rFonts w:ascii="Times New Roman" w:eastAsia="Times New Roman" w:hAnsi="Times New Roman" w:cs="Times New Roman"/>
              </w:rPr>
              <w:t>Accounts receivable - ancillary benefits</w:t>
            </w:r>
          </w:p>
        </w:tc>
        <w:tc>
          <w:tcPr>
            <w:tcW w:w="236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-0-</w:t>
            </w:r>
          </w:p>
        </w:tc>
        <w:tc>
          <w:tcPr>
            <w:tcW w:w="1840" w:type="dxa"/>
            <w:tcBorders>
              <w:top w:val="nil"/>
              <w:left w:val="nil"/>
              <w:bottom w:val="nil"/>
              <w:right w:val="nil"/>
            </w:tcBorders>
            <w:shd w:val="clear" w:color="auto" w:fill="auto"/>
            <w:vAlign w:val="center"/>
            <w:hideMark/>
          </w:tcPr>
          <w:p w:rsidR="00D34A8C" w:rsidRPr="00C4219F" w:rsidRDefault="00F51BF8"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500" w:firstLine="1100"/>
              <w:rPr>
                <w:rFonts w:ascii="Times New Roman" w:eastAsia="Times New Roman" w:hAnsi="Times New Roman" w:cs="Times New Roman"/>
              </w:rPr>
            </w:pPr>
            <w:r w:rsidRPr="00C4219F">
              <w:rPr>
                <w:rFonts w:ascii="Times New Roman" w:eastAsia="Times New Roman" w:hAnsi="Times New Roman" w:cs="Times New Roman"/>
              </w:rPr>
              <w:t>Premiums receivable</w:t>
            </w:r>
          </w:p>
        </w:tc>
        <w:tc>
          <w:tcPr>
            <w:tcW w:w="236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36,379</w:t>
            </w:r>
          </w:p>
        </w:tc>
        <w:tc>
          <w:tcPr>
            <w:tcW w:w="1840" w:type="dxa"/>
            <w:tcBorders>
              <w:top w:val="nil"/>
              <w:left w:val="nil"/>
              <w:bottom w:val="nil"/>
              <w:right w:val="nil"/>
            </w:tcBorders>
            <w:shd w:val="clear" w:color="auto" w:fill="auto"/>
            <w:vAlign w:val="center"/>
            <w:hideMark/>
          </w:tcPr>
          <w:p w:rsidR="00D34A8C" w:rsidRPr="00C4219F" w:rsidRDefault="00F51BF8"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46866</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500" w:firstLine="1100"/>
              <w:rPr>
                <w:rFonts w:ascii="Times New Roman" w:eastAsia="Times New Roman" w:hAnsi="Times New Roman" w:cs="Times New Roman"/>
              </w:rPr>
            </w:pPr>
            <w:r w:rsidRPr="00C4219F">
              <w:rPr>
                <w:rFonts w:ascii="Times New Roman" w:eastAsia="Times New Roman" w:hAnsi="Times New Roman" w:cs="Times New Roman"/>
              </w:rPr>
              <w:t>Prepaid expenses</w:t>
            </w:r>
          </w:p>
        </w:tc>
        <w:tc>
          <w:tcPr>
            <w:tcW w:w="2360" w:type="dxa"/>
            <w:tcBorders>
              <w:top w:val="nil"/>
              <w:left w:val="nil"/>
              <w:bottom w:val="single" w:sz="4" w:space="0" w:color="auto"/>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997</w:t>
            </w:r>
          </w:p>
        </w:tc>
        <w:tc>
          <w:tcPr>
            <w:tcW w:w="1840" w:type="dxa"/>
            <w:tcBorders>
              <w:top w:val="nil"/>
              <w:left w:val="nil"/>
              <w:bottom w:val="single" w:sz="4" w:space="0" w:color="auto"/>
              <w:right w:val="nil"/>
            </w:tcBorders>
            <w:shd w:val="clear" w:color="auto" w:fill="auto"/>
            <w:vAlign w:val="center"/>
            <w:hideMark/>
          </w:tcPr>
          <w:p w:rsidR="00D34A8C" w:rsidRPr="00C4219F" w:rsidRDefault="00D34A8C" w:rsidP="00D34A8C">
            <w:pPr>
              <w:spacing w:after="0" w:line="240" w:lineRule="auto"/>
              <w:jc w:val="right"/>
              <w:rPr>
                <w:rFonts w:ascii="Times New Roman" w:eastAsia="Times New Roman" w:hAnsi="Times New Roman" w:cs="Times New Roman"/>
              </w:rPr>
            </w:pPr>
            <w:r w:rsidRPr="00C4219F">
              <w:rPr>
                <w:rFonts w:ascii="Times New Roman" w:eastAsia="Times New Roman" w:hAnsi="Times New Roman" w:cs="Times New Roman"/>
              </w:rPr>
              <w:t>-0-</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800" w:firstLine="1760"/>
              <w:rPr>
                <w:rFonts w:ascii="Times New Roman" w:eastAsia="Times New Roman" w:hAnsi="Times New Roman" w:cs="Times New Roman"/>
              </w:rPr>
            </w:pPr>
            <w:r w:rsidRPr="00C4219F">
              <w:rPr>
                <w:rFonts w:ascii="Times New Roman" w:eastAsia="Times New Roman" w:hAnsi="Times New Roman" w:cs="Times New Roman"/>
              </w:rPr>
              <w:t>Total Current Assets</w:t>
            </w:r>
          </w:p>
        </w:tc>
        <w:tc>
          <w:tcPr>
            <w:tcW w:w="2360" w:type="dxa"/>
            <w:tcBorders>
              <w:top w:val="nil"/>
              <w:left w:val="nil"/>
              <w:bottom w:val="single" w:sz="4" w:space="0" w:color="auto"/>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8,535,686</w:t>
            </w:r>
          </w:p>
        </w:tc>
        <w:tc>
          <w:tcPr>
            <w:tcW w:w="1840" w:type="dxa"/>
            <w:tcBorders>
              <w:top w:val="nil"/>
              <w:left w:val="nil"/>
              <w:bottom w:val="single" w:sz="4" w:space="0" w:color="auto"/>
              <w:right w:val="nil"/>
            </w:tcBorders>
            <w:shd w:val="clear" w:color="auto" w:fill="auto"/>
            <w:vAlign w:val="center"/>
            <w:hideMark/>
          </w:tcPr>
          <w:p w:rsidR="00D34A8C" w:rsidRPr="00C4219F" w:rsidRDefault="00F51BF8"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15,413,416</w:t>
            </w:r>
          </w:p>
        </w:tc>
      </w:tr>
      <w:tr w:rsidR="00D34A8C" w:rsidRPr="00C4219F" w:rsidTr="006701D2">
        <w:trPr>
          <w:trHeight w:val="422"/>
        </w:trPr>
        <w:tc>
          <w:tcPr>
            <w:tcW w:w="6120" w:type="dxa"/>
            <w:tcBorders>
              <w:top w:val="nil"/>
              <w:left w:val="nil"/>
              <w:bottom w:val="nil"/>
              <w:right w:val="nil"/>
            </w:tcBorders>
            <w:shd w:val="clear" w:color="auto" w:fill="auto"/>
            <w:vAlign w:val="bottom"/>
            <w:hideMark/>
          </w:tcPr>
          <w:p w:rsidR="00B035DC" w:rsidRPr="00C4219F" w:rsidRDefault="00B035DC" w:rsidP="00B035DC">
            <w:pPr>
              <w:spacing w:after="0" w:line="240" w:lineRule="auto"/>
              <w:ind w:firstLineChars="200" w:firstLine="442"/>
              <w:rPr>
                <w:rFonts w:ascii="Times New Roman" w:eastAsia="Times New Roman" w:hAnsi="Times New Roman" w:cs="Times New Roman"/>
                <w:b/>
                <w:bCs/>
              </w:rPr>
            </w:pPr>
          </w:p>
          <w:p w:rsidR="00D34A8C" w:rsidRPr="00C4219F" w:rsidRDefault="00D34A8C" w:rsidP="00B035DC">
            <w:pPr>
              <w:spacing w:after="0" w:line="240" w:lineRule="auto"/>
              <w:ind w:firstLineChars="200" w:firstLine="442"/>
              <w:rPr>
                <w:rFonts w:ascii="Times New Roman" w:eastAsia="Times New Roman" w:hAnsi="Times New Roman" w:cs="Times New Roman"/>
                <w:b/>
                <w:bCs/>
              </w:rPr>
            </w:pPr>
            <w:r w:rsidRPr="00C4219F">
              <w:rPr>
                <w:rFonts w:ascii="Times New Roman" w:eastAsia="Times New Roman" w:hAnsi="Times New Roman" w:cs="Times New Roman"/>
                <w:b/>
                <w:bCs/>
              </w:rPr>
              <w:t>OTHER ASSETS</w:t>
            </w:r>
          </w:p>
        </w:tc>
        <w:tc>
          <w:tcPr>
            <w:tcW w:w="236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r w:rsidRPr="00C4219F">
              <w:rPr>
                <w:rFonts w:ascii="Times New Roman" w:eastAsia="Times New Roman" w:hAnsi="Times New Roman" w:cs="Times New Roman"/>
                <w:color w:val="000000"/>
              </w:rPr>
              <w:t> </w:t>
            </w:r>
          </w:p>
        </w:tc>
        <w:tc>
          <w:tcPr>
            <w:tcW w:w="184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r w:rsidRPr="00C4219F">
              <w:rPr>
                <w:rFonts w:ascii="Times New Roman" w:eastAsia="Times New Roman" w:hAnsi="Times New Roman" w:cs="Times New Roman"/>
                <w:color w:val="000000"/>
              </w:rPr>
              <w:t> </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rPr>
                <w:rFonts w:ascii="Times New Roman" w:eastAsia="Times New Roman" w:hAnsi="Times New Roman" w:cs="Times New Roman"/>
              </w:rPr>
            </w:pPr>
            <w:r w:rsidRPr="00C4219F">
              <w:rPr>
                <w:rFonts w:ascii="Times New Roman" w:eastAsia="Times New Roman" w:hAnsi="Times New Roman" w:cs="Times New Roman"/>
              </w:rPr>
              <w:t>Noncurrent Assets:</w:t>
            </w:r>
          </w:p>
        </w:tc>
        <w:tc>
          <w:tcPr>
            <w:tcW w:w="236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p>
        </w:tc>
        <w:tc>
          <w:tcPr>
            <w:tcW w:w="184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500" w:firstLine="1100"/>
              <w:rPr>
                <w:rFonts w:ascii="Times New Roman" w:eastAsia="Times New Roman" w:hAnsi="Times New Roman" w:cs="Times New Roman"/>
              </w:rPr>
            </w:pPr>
            <w:r w:rsidRPr="00C4219F">
              <w:rPr>
                <w:rFonts w:ascii="Times New Roman" w:eastAsia="Times New Roman" w:hAnsi="Times New Roman" w:cs="Times New Roman"/>
              </w:rPr>
              <w:t>Premium claims deposit</w:t>
            </w:r>
          </w:p>
        </w:tc>
        <w:tc>
          <w:tcPr>
            <w:tcW w:w="236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953,700</w:t>
            </w:r>
          </w:p>
        </w:tc>
        <w:tc>
          <w:tcPr>
            <w:tcW w:w="1840" w:type="dxa"/>
            <w:tcBorders>
              <w:top w:val="nil"/>
              <w:left w:val="nil"/>
              <w:bottom w:val="nil"/>
              <w:right w:val="nil"/>
            </w:tcBorders>
            <w:shd w:val="clear" w:color="auto" w:fill="auto"/>
            <w:vAlign w:val="center"/>
            <w:hideMark/>
          </w:tcPr>
          <w:p w:rsidR="00D34A8C" w:rsidRPr="00C4219F" w:rsidRDefault="00F51BF8"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527,500</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500" w:firstLine="1100"/>
              <w:rPr>
                <w:rFonts w:ascii="Times New Roman" w:eastAsia="Times New Roman" w:hAnsi="Times New Roman" w:cs="Times New Roman"/>
              </w:rPr>
            </w:pPr>
            <w:r w:rsidRPr="00C4219F">
              <w:rPr>
                <w:rFonts w:ascii="Times New Roman" w:eastAsia="Times New Roman" w:hAnsi="Times New Roman" w:cs="Times New Roman"/>
              </w:rPr>
              <w:t>Restricted cash and cash equivalents</w:t>
            </w:r>
          </w:p>
        </w:tc>
        <w:tc>
          <w:tcPr>
            <w:tcW w:w="2360" w:type="dxa"/>
            <w:tcBorders>
              <w:top w:val="nil"/>
              <w:left w:val="nil"/>
              <w:bottom w:val="single" w:sz="4" w:space="0" w:color="auto"/>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5,953,618</w:t>
            </w:r>
          </w:p>
        </w:tc>
        <w:tc>
          <w:tcPr>
            <w:tcW w:w="1840" w:type="dxa"/>
            <w:tcBorders>
              <w:top w:val="nil"/>
              <w:left w:val="nil"/>
              <w:bottom w:val="single" w:sz="4" w:space="0" w:color="auto"/>
              <w:right w:val="nil"/>
            </w:tcBorders>
            <w:shd w:val="clear" w:color="auto" w:fill="auto"/>
            <w:vAlign w:val="center"/>
            <w:hideMark/>
          </w:tcPr>
          <w:p w:rsidR="00D34A8C" w:rsidRPr="00C4219F" w:rsidRDefault="00F51BF8"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6,213,006</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800" w:firstLine="1760"/>
              <w:rPr>
                <w:rFonts w:ascii="Times New Roman" w:eastAsia="Times New Roman" w:hAnsi="Times New Roman" w:cs="Times New Roman"/>
              </w:rPr>
            </w:pPr>
            <w:r w:rsidRPr="00C4219F">
              <w:rPr>
                <w:rFonts w:ascii="Times New Roman" w:eastAsia="Times New Roman" w:hAnsi="Times New Roman" w:cs="Times New Roman"/>
              </w:rPr>
              <w:t>Total Other Assets</w:t>
            </w:r>
          </w:p>
        </w:tc>
        <w:tc>
          <w:tcPr>
            <w:tcW w:w="2360" w:type="dxa"/>
            <w:tcBorders>
              <w:top w:val="nil"/>
              <w:left w:val="nil"/>
              <w:bottom w:val="single" w:sz="4" w:space="0" w:color="auto"/>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6,907,318</w:t>
            </w:r>
          </w:p>
        </w:tc>
        <w:tc>
          <w:tcPr>
            <w:tcW w:w="1840" w:type="dxa"/>
            <w:tcBorders>
              <w:top w:val="nil"/>
              <w:left w:val="nil"/>
              <w:bottom w:val="single" w:sz="4" w:space="0" w:color="auto"/>
              <w:right w:val="nil"/>
            </w:tcBorders>
            <w:shd w:val="clear" w:color="auto" w:fill="auto"/>
            <w:vAlign w:val="center"/>
            <w:hideMark/>
          </w:tcPr>
          <w:p w:rsidR="00D34A8C" w:rsidRPr="00C4219F" w:rsidRDefault="00F51BF8"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6,740,506</w:t>
            </w:r>
          </w:p>
        </w:tc>
      </w:tr>
      <w:tr w:rsidR="00D34A8C" w:rsidRPr="00C4219F" w:rsidTr="00B035DC">
        <w:trPr>
          <w:trHeight w:val="302"/>
        </w:trPr>
        <w:tc>
          <w:tcPr>
            <w:tcW w:w="6120" w:type="dxa"/>
            <w:tcBorders>
              <w:top w:val="nil"/>
              <w:left w:val="nil"/>
              <w:bottom w:val="nil"/>
              <w:right w:val="nil"/>
            </w:tcBorders>
            <w:shd w:val="clear" w:color="auto" w:fill="auto"/>
            <w:vAlign w:val="bottom"/>
            <w:hideMark/>
          </w:tcPr>
          <w:p w:rsidR="00D34A8C" w:rsidRPr="00C4219F" w:rsidRDefault="00D34A8C" w:rsidP="00B035DC">
            <w:pPr>
              <w:spacing w:after="0" w:line="240" w:lineRule="auto"/>
              <w:ind w:firstLineChars="900" w:firstLine="1980"/>
              <w:rPr>
                <w:rFonts w:ascii="Times New Roman" w:eastAsia="Times New Roman" w:hAnsi="Times New Roman" w:cs="Times New Roman"/>
              </w:rPr>
            </w:pPr>
            <w:r w:rsidRPr="00C4219F">
              <w:rPr>
                <w:rFonts w:ascii="Times New Roman" w:eastAsia="Times New Roman" w:hAnsi="Times New Roman" w:cs="Times New Roman"/>
              </w:rPr>
              <w:t>Total Assets</w:t>
            </w:r>
          </w:p>
        </w:tc>
        <w:tc>
          <w:tcPr>
            <w:tcW w:w="2360" w:type="dxa"/>
            <w:tcBorders>
              <w:top w:val="nil"/>
              <w:left w:val="nil"/>
              <w:bottom w:val="single" w:sz="4" w:space="0" w:color="auto"/>
              <w:right w:val="nil"/>
            </w:tcBorders>
            <w:shd w:val="clear" w:color="auto" w:fill="auto"/>
            <w:vAlign w:val="bottom"/>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15,443,004</w:t>
            </w:r>
          </w:p>
        </w:tc>
        <w:tc>
          <w:tcPr>
            <w:tcW w:w="1840" w:type="dxa"/>
            <w:tcBorders>
              <w:top w:val="nil"/>
              <w:left w:val="nil"/>
              <w:bottom w:val="single" w:sz="4" w:space="0" w:color="auto"/>
              <w:right w:val="nil"/>
            </w:tcBorders>
            <w:shd w:val="clear" w:color="auto" w:fill="auto"/>
            <w:vAlign w:val="bottom"/>
            <w:hideMark/>
          </w:tcPr>
          <w:p w:rsidR="00D34A8C" w:rsidRPr="00C4219F" w:rsidRDefault="00F51BF8"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22,153,922</w:t>
            </w:r>
          </w:p>
        </w:tc>
      </w:tr>
      <w:tr w:rsidR="00D34A8C" w:rsidRPr="00C4219F" w:rsidTr="00B035DC">
        <w:trPr>
          <w:trHeight w:val="302"/>
        </w:trPr>
        <w:tc>
          <w:tcPr>
            <w:tcW w:w="6120" w:type="dxa"/>
            <w:tcBorders>
              <w:top w:val="nil"/>
              <w:left w:val="nil"/>
              <w:bottom w:val="nil"/>
              <w:right w:val="nil"/>
            </w:tcBorders>
            <w:shd w:val="clear" w:color="auto" w:fill="auto"/>
            <w:vAlign w:val="bottom"/>
            <w:hideMark/>
          </w:tcPr>
          <w:p w:rsidR="00D34A8C" w:rsidRPr="00C4219F" w:rsidRDefault="00D34A8C" w:rsidP="00B035DC">
            <w:pPr>
              <w:spacing w:after="0" w:line="240" w:lineRule="auto"/>
              <w:ind w:firstLineChars="200" w:firstLine="442"/>
              <w:rPr>
                <w:rFonts w:ascii="Times New Roman" w:eastAsia="Times New Roman" w:hAnsi="Times New Roman" w:cs="Times New Roman"/>
                <w:b/>
                <w:bCs/>
              </w:rPr>
            </w:pPr>
            <w:r w:rsidRPr="00C4219F">
              <w:rPr>
                <w:rFonts w:ascii="Times New Roman" w:eastAsia="Times New Roman" w:hAnsi="Times New Roman" w:cs="Times New Roman"/>
                <w:b/>
                <w:bCs/>
              </w:rPr>
              <w:t>LIABILITIES</w:t>
            </w:r>
          </w:p>
        </w:tc>
        <w:tc>
          <w:tcPr>
            <w:tcW w:w="236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r w:rsidRPr="00C4219F">
              <w:rPr>
                <w:rFonts w:ascii="Times New Roman" w:eastAsia="Times New Roman" w:hAnsi="Times New Roman" w:cs="Times New Roman"/>
                <w:color w:val="000000"/>
              </w:rPr>
              <w:t> </w:t>
            </w:r>
          </w:p>
        </w:tc>
        <w:tc>
          <w:tcPr>
            <w:tcW w:w="184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r w:rsidRPr="00C4219F">
              <w:rPr>
                <w:rFonts w:ascii="Times New Roman" w:eastAsia="Times New Roman" w:hAnsi="Times New Roman" w:cs="Times New Roman"/>
                <w:color w:val="000000"/>
              </w:rPr>
              <w:t> </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rPr>
                <w:rFonts w:ascii="Times New Roman" w:eastAsia="Times New Roman" w:hAnsi="Times New Roman" w:cs="Times New Roman"/>
              </w:rPr>
            </w:pPr>
            <w:r w:rsidRPr="00C4219F">
              <w:rPr>
                <w:rFonts w:ascii="Times New Roman" w:eastAsia="Times New Roman" w:hAnsi="Times New Roman" w:cs="Times New Roman"/>
              </w:rPr>
              <w:t>Current Liabilit</w:t>
            </w:r>
            <w:r w:rsidR="00B035DC" w:rsidRPr="00C4219F">
              <w:rPr>
                <w:rFonts w:ascii="Times New Roman" w:eastAsia="Times New Roman" w:hAnsi="Times New Roman" w:cs="Times New Roman"/>
              </w:rPr>
              <w:t>i</w:t>
            </w:r>
            <w:r w:rsidRPr="00C4219F">
              <w:rPr>
                <w:rFonts w:ascii="Times New Roman" w:eastAsia="Times New Roman" w:hAnsi="Times New Roman" w:cs="Times New Roman"/>
              </w:rPr>
              <w:t>es:</w:t>
            </w:r>
          </w:p>
        </w:tc>
        <w:tc>
          <w:tcPr>
            <w:tcW w:w="236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p>
        </w:tc>
        <w:tc>
          <w:tcPr>
            <w:tcW w:w="184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p>
        </w:tc>
      </w:tr>
      <w:tr w:rsidR="00D34A8C" w:rsidRPr="00C4219F" w:rsidTr="00025D9F">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800" w:firstLine="1760"/>
              <w:rPr>
                <w:rFonts w:ascii="Times New Roman" w:eastAsia="Times New Roman" w:hAnsi="Times New Roman" w:cs="Times New Roman"/>
              </w:rPr>
            </w:pPr>
            <w:r w:rsidRPr="00C4219F">
              <w:rPr>
                <w:rFonts w:ascii="Times New Roman" w:eastAsia="Times New Roman" w:hAnsi="Times New Roman" w:cs="Times New Roman"/>
              </w:rPr>
              <w:t>Incurred</w:t>
            </w:r>
            <w:r w:rsidR="002735B6">
              <w:rPr>
                <w:rFonts w:ascii="Times New Roman" w:eastAsia="Times New Roman" w:hAnsi="Times New Roman" w:cs="Times New Roman"/>
              </w:rPr>
              <w:t xml:space="preserve"> claims</w:t>
            </w:r>
            <w:r w:rsidRPr="00C4219F">
              <w:rPr>
                <w:rFonts w:ascii="Times New Roman" w:eastAsia="Times New Roman" w:hAnsi="Times New Roman" w:cs="Times New Roman"/>
              </w:rPr>
              <w:t xml:space="preserve"> liabil</w:t>
            </w:r>
            <w:r w:rsidR="00B035DC" w:rsidRPr="00C4219F">
              <w:rPr>
                <w:rFonts w:ascii="Times New Roman" w:eastAsia="Times New Roman" w:hAnsi="Times New Roman" w:cs="Times New Roman"/>
              </w:rPr>
              <w:t>i</w:t>
            </w:r>
            <w:r w:rsidRPr="00C4219F">
              <w:rPr>
                <w:rFonts w:ascii="Times New Roman" w:eastAsia="Times New Roman" w:hAnsi="Times New Roman" w:cs="Times New Roman"/>
              </w:rPr>
              <w:t>ty</w:t>
            </w:r>
          </w:p>
        </w:tc>
        <w:tc>
          <w:tcPr>
            <w:tcW w:w="2360" w:type="dxa"/>
            <w:tcBorders>
              <w:top w:val="nil"/>
              <w:left w:val="nil"/>
              <w:right w:val="nil"/>
            </w:tcBorders>
            <w:shd w:val="clear" w:color="auto" w:fill="auto"/>
            <w:vAlign w:val="center"/>
            <w:hideMark/>
          </w:tcPr>
          <w:p w:rsidR="00D34A8C" w:rsidRPr="00C4219F" w:rsidRDefault="002735B6" w:rsidP="00B035DC">
            <w:pPr>
              <w:spacing w:after="0" w:line="240" w:lineRule="auto"/>
              <w:ind w:firstLineChars="300" w:firstLine="660"/>
              <w:jc w:val="right"/>
              <w:rPr>
                <w:rFonts w:ascii="Times New Roman" w:eastAsia="Times New Roman" w:hAnsi="Times New Roman" w:cs="Times New Roman"/>
              </w:rPr>
            </w:pPr>
            <w:r>
              <w:rPr>
                <w:rFonts w:ascii="Times New Roman" w:eastAsia="Times New Roman" w:hAnsi="Times New Roman" w:cs="Times New Roman"/>
              </w:rPr>
              <w:t>3,800,339</w:t>
            </w:r>
          </w:p>
        </w:tc>
        <w:tc>
          <w:tcPr>
            <w:tcW w:w="1840" w:type="dxa"/>
            <w:tcBorders>
              <w:top w:val="nil"/>
              <w:left w:val="nil"/>
              <w:right w:val="nil"/>
            </w:tcBorders>
            <w:shd w:val="clear" w:color="auto" w:fill="auto"/>
            <w:vAlign w:val="center"/>
            <w:hideMark/>
          </w:tcPr>
          <w:p w:rsidR="00D34A8C" w:rsidRPr="00C4219F" w:rsidRDefault="002735B6"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3,631,889</w:t>
            </w:r>
          </w:p>
        </w:tc>
      </w:tr>
      <w:tr w:rsidR="00D34A8C" w:rsidRPr="00C4219F" w:rsidTr="00025D9F">
        <w:trPr>
          <w:trHeight w:val="302"/>
        </w:trPr>
        <w:tc>
          <w:tcPr>
            <w:tcW w:w="6120" w:type="dxa"/>
            <w:tcBorders>
              <w:top w:val="nil"/>
              <w:left w:val="nil"/>
              <w:bottom w:val="nil"/>
              <w:right w:val="nil"/>
            </w:tcBorders>
            <w:shd w:val="clear" w:color="auto" w:fill="auto"/>
            <w:vAlign w:val="center"/>
            <w:hideMark/>
          </w:tcPr>
          <w:p w:rsidR="00D34A8C" w:rsidRDefault="002735B6" w:rsidP="00B035DC">
            <w:pPr>
              <w:spacing w:after="0" w:line="240" w:lineRule="auto"/>
              <w:ind w:firstLineChars="800" w:firstLine="1760"/>
              <w:rPr>
                <w:rFonts w:ascii="Times New Roman" w:eastAsia="Times New Roman" w:hAnsi="Times New Roman" w:cs="Times New Roman"/>
              </w:rPr>
            </w:pPr>
            <w:r>
              <w:rPr>
                <w:rFonts w:ascii="Times New Roman" w:eastAsia="Times New Roman" w:hAnsi="Times New Roman" w:cs="Times New Roman"/>
              </w:rPr>
              <w:t>Accounts</w:t>
            </w:r>
            <w:r w:rsidR="00D34A8C" w:rsidRPr="00C4219F">
              <w:rPr>
                <w:rFonts w:ascii="Times New Roman" w:eastAsia="Times New Roman" w:hAnsi="Times New Roman" w:cs="Times New Roman"/>
              </w:rPr>
              <w:t xml:space="preserve"> payable</w:t>
            </w:r>
          </w:p>
          <w:p w:rsidR="002735B6" w:rsidRPr="00C4219F" w:rsidRDefault="002735B6" w:rsidP="00B035DC">
            <w:pPr>
              <w:spacing w:after="0" w:line="240" w:lineRule="auto"/>
              <w:ind w:firstLineChars="800" w:firstLine="1760"/>
              <w:rPr>
                <w:rFonts w:ascii="Times New Roman" w:eastAsia="Times New Roman" w:hAnsi="Times New Roman" w:cs="Times New Roman"/>
              </w:rPr>
            </w:pPr>
            <w:r>
              <w:rPr>
                <w:rFonts w:ascii="Times New Roman" w:eastAsia="Times New Roman" w:hAnsi="Times New Roman" w:cs="Times New Roman"/>
              </w:rPr>
              <w:t>Unearned revenues</w:t>
            </w:r>
          </w:p>
        </w:tc>
        <w:tc>
          <w:tcPr>
            <w:tcW w:w="2360" w:type="dxa"/>
            <w:tcBorders>
              <w:top w:val="nil"/>
              <w:left w:val="nil"/>
              <w:right w:val="nil"/>
            </w:tcBorders>
            <w:shd w:val="clear" w:color="auto" w:fill="auto"/>
            <w:vAlign w:val="center"/>
            <w:hideMark/>
          </w:tcPr>
          <w:p w:rsidR="00D34A8C" w:rsidRDefault="002735B6" w:rsidP="00B035DC">
            <w:pPr>
              <w:spacing w:after="0" w:line="240" w:lineRule="auto"/>
              <w:ind w:firstLineChars="300" w:firstLine="660"/>
              <w:jc w:val="right"/>
              <w:rPr>
                <w:rFonts w:ascii="Times New Roman" w:eastAsia="Times New Roman" w:hAnsi="Times New Roman" w:cs="Times New Roman"/>
              </w:rPr>
            </w:pPr>
            <w:r>
              <w:rPr>
                <w:rFonts w:ascii="Times New Roman" w:eastAsia="Times New Roman" w:hAnsi="Times New Roman" w:cs="Times New Roman"/>
              </w:rPr>
              <w:t>368,786</w:t>
            </w:r>
          </w:p>
          <w:p w:rsidR="002735B6" w:rsidRPr="00C4219F" w:rsidRDefault="002735B6" w:rsidP="00B035DC">
            <w:pPr>
              <w:spacing w:after="0" w:line="240" w:lineRule="auto"/>
              <w:ind w:firstLineChars="300" w:firstLine="660"/>
              <w:jc w:val="right"/>
              <w:rPr>
                <w:rFonts w:ascii="Times New Roman" w:eastAsia="Times New Roman" w:hAnsi="Times New Roman" w:cs="Times New Roman"/>
              </w:rPr>
            </w:pPr>
            <w:r>
              <w:rPr>
                <w:rFonts w:ascii="Times New Roman" w:eastAsia="Times New Roman" w:hAnsi="Times New Roman" w:cs="Times New Roman"/>
              </w:rPr>
              <w:t>355,180</w:t>
            </w:r>
          </w:p>
        </w:tc>
        <w:tc>
          <w:tcPr>
            <w:tcW w:w="1840" w:type="dxa"/>
            <w:tcBorders>
              <w:top w:val="nil"/>
              <w:left w:val="nil"/>
              <w:right w:val="nil"/>
            </w:tcBorders>
            <w:shd w:val="clear" w:color="auto" w:fill="auto"/>
            <w:vAlign w:val="center"/>
            <w:hideMark/>
          </w:tcPr>
          <w:p w:rsidR="00D34A8C" w:rsidRDefault="00D34A8C" w:rsidP="00D34A8C">
            <w:pPr>
              <w:spacing w:after="0" w:line="240" w:lineRule="auto"/>
              <w:jc w:val="right"/>
              <w:rPr>
                <w:rFonts w:ascii="Times New Roman" w:eastAsia="Times New Roman" w:hAnsi="Times New Roman" w:cs="Times New Roman"/>
              </w:rPr>
            </w:pPr>
            <w:r w:rsidRPr="00C4219F">
              <w:rPr>
                <w:rFonts w:ascii="Times New Roman" w:eastAsia="Times New Roman" w:hAnsi="Times New Roman" w:cs="Times New Roman"/>
              </w:rPr>
              <w:t>369,664</w:t>
            </w:r>
          </w:p>
          <w:p w:rsidR="002735B6" w:rsidRPr="00C4219F" w:rsidRDefault="002735B6"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252,877</w:t>
            </w:r>
          </w:p>
        </w:tc>
      </w:tr>
      <w:tr w:rsidR="00D34A8C" w:rsidRPr="00C4219F" w:rsidTr="00025D9F">
        <w:trPr>
          <w:trHeight w:val="302"/>
        </w:trPr>
        <w:tc>
          <w:tcPr>
            <w:tcW w:w="6120" w:type="dxa"/>
            <w:tcBorders>
              <w:top w:val="nil"/>
              <w:left w:val="nil"/>
              <w:bottom w:val="nil"/>
              <w:right w:val="nil"/>
            </w:tcBorders>
            <w:shd w:val="clear" w:color="auto" w:fill="auto"/>
            <w:vAlign w:val="center"/>
          </w:tcPr>
          <w:p w:rsidR="00D34A8C" w:rsidRPr="00C4219F" w:rsidRDefault="00D34A8C" w:rsidP="00B035DC">
            <w:pPr>
              <w:spacing w:after="0" w:line="240" w:lineRule="auto"/>
              <w:ind w:firstLineChars="900" w:firstLine="1980"/>
              <w:rPr>
                <w:rFonts w:ascii="Times New Roman" w:eastAsia="Times New Roman" w:hAnsi="Times New Roman" w:cs="Times New Roman"/>
              </w:rPr>
            </w:pPr>
          </w:p>
        </w:tc>
        <w:tc>
          <w:tcPr>
            <w:tcW w:w="2360" w:type="dxa"/>
            <w:tcBorders>
              <w:left w:val="nil"/>
              <w:bottom w:val="nil"/>
              <w:right w:val="nil"/>
            </w:tcBorders>
            <w:shd w:val="clear" w:color="auto" w:fill="auto"/>
            <w:vAlign w:val="center"/>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p>
        </w:tc>
        <w:tc>
          <w:tcPr>
            <w:tcW w:w="1840" w:type="dxa"/>
            <w:tcBorders>
              <w:left w:val="nil"/>
              <w:bottom w:val="nil"/>
              <w:right w:val="nil"/>
            </w:tcBorders>
            <w:shd w:val="clear" w:color="auto" w:fill="auto"/>
            <w:vAlign w:val="center"/>
          </w:tcPr>
          <w:p w:rsidR="00D34A8C" w:rsidRPr="00C4219F" w:rsidRDefault="00D34A8C" w:rsidP="00D34A8C">
            <w:pPr>
              <w:spacing w:after="0" w:line="240" w:lineRule="auto"/>
              <w:jc w:val="right"/>
              <w:rPr>
                <w:rFonts w:ascii="Times New Roman" w:eastAsia="Times New Roman" w:hAnsi="Times New Roman" w:cs="Times New Roman"/>
              </w:rPr>
            </w:pPr>
          </w:p>
        </w:tc>
      </w:tr>
      <w:tr w:rsidR="00D34A8C" w:rsidRPr="00C4219F" w:rsidTr="002735B6">
        <w:trPr>
          <w:trHeight w:val="302"/>
        </w:trPr>
        <w:tc>
          <w:tcPr>
            <w:tcW w:w="6120" w:type="dxa"/>
            <w:tcBorders>
              <w:top w:val="nil"/>
              <w:left w:val="nil"/>
              <w:bottom w:val="nil"/>
              <w:right w:val="nil"/>
            </w:tcBorders>
            <w:shd w:val="clear" w:color="auto" w:fill="auto"/>
            <w:vAlign w:val="center"/>
          </w:tcPr>
          <w:p w:rsidR="00D34A8C" w:rsidRPr="00C4219F" w:rsidRDefault="00D34A8C" w:rsidP="00B035DC">
            <w:pPr>
              <w:spacing w:after="0" w:line="240" w:lineRule="auto"/>
              <w:ind w:firstLineChars="500" w:firstLine="1100"/>
              <w:rPr>
                <w:rFonts w:ascii="Times New Roman" w:eastAsia="Times New Roman" w:hAnsi="Times New Roman" w:cs="Times New Roman"/>
              </w:rPr>
            </w:pPr>
          </w:p>
        </w:tc>
        <w:tc>
          <w:tcPr>
            <w:tcW w:w="2360" w:type="dxa"/>
            <w:tcBorders>
              <w:top w:val="nil"/>
              <w:left w:val="nil"/>
              <w:bottom w:val="nil"/>
              <w:right w:val="nil"/>
            </w:tcBorders>
            <w:shd w:val="clear" w:color="auto" w:fill="auto"/>
            <w:vAlign w:val="center"/>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p>
        </w:tc>
        <w:tc>
          <w:tcPr>
            <w:tcW w:w="1840" w:type="dxa"/>
            <w:tcBorders>
              <w:top w:val="nil"/>
              <w:left w:val="nil"/>
              <w:bottom w:val="nil"/>
              <w:right w:val="nil"/>
            </w:tcBorders>
            <w:shd w:val="clear" w:color="auto" w:fill="auto"/>
            <w:vAlign w:val="center"/>
          </w:tcPr>
          <w:p w:rsidR="00D34A8C" w:rsidRPr="00C4219F" w:rsidRDefault="00D34A8C" w:rsidP="00D34A8C">
            <w:pPr>
              <w:spacing w:after="0" w:line="240" w:lineRule="auto"/>
              <w:jc w:val="right"/>
              <w:rPr>
                <w:rFonts w:ascii="Times New Roman" w:eastAsia="Times New Roman" w:hAnsi="Times New Roman" w:cs="Times New Roman"/>
              </w:rPr>
            </w:pPr>
          </w:p>
        </w:tc>
      </w:tr>
      <w:tr w:rsidR="00D34A8C" w:rsidRPr="00C4219F" w:rsidTr="002735B6">
        <w:trPr>
          <w:trHeight w:val="302"/>
        </w:trPr>
        <w:tc>
          <w:tcPr>
            <w:tcW w:w="6120" w:type="dxa"/>
            <w:tcBorders>
              <w:top w:val="nil"/>
              <w:left w:val="nil"/>
              <w:bottom w:val="nil"/>
              <w:right w:val="nil"/>
            </w:tcBorders>
            <w:shd w:val="clear" w:color="auto" w:fill="auto"/>
            <w:vAlign w:val="center"/>
          </w:tcPr>
          <w:p w:rsidR="00D34A8C" w:rsidRPr="00C4219F" w:rsidRDefault="00D34A8C" w:rsidP="00B035DC">
            <w:pPr>
              <w:spacing w:after="0" w:line="240" w:lineRule="auto"/>
              <w:ind w:firstLineChars="500" w:firstLine="1100"/>
              <w:rPr>
                <w:rFonts w:ascii="Times New Roman" w:eastAsia="Times New Roman" w:hAnsi="Times New Roman" w:cs="Times New Roman"/>
              </w:rPr>
            </w:pPr>
          </w:p>
        </w:tc>
        <w:tc>
          <w:tcPr>
            <w:tcW w:w="2360" w:type="dxa"/>
            <w:tcBorders>
              <w:top w:val="nil"/>
              <w:left w:val="nil"/>
              <w:bottom w:val="single" w:sz="4" w:space="0" w:color="auto"/>
              <w:right w:val="nil"/>
            </w:tcBorders>
            <w:shd w:val="clear" w:color="auto" w:fill="auto"/>
            <w:vAlign w:val="center"/>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p>
        </w:tc>
        <w:tc>
          <w:tcPr>
            <w:tcW w:w="1840" w:type="dxa"/>
            <w:tcBorders>
              <w:top w:val="nil"/>
              <w:left w:val="nil"/>
              <w:bottom w:val="single" w:sz="4" w:space="0" w:color="auto"/>
              <w:right w:val="nil"/>
            </w:tcBorders>
            <w:shd w:val="clear" w:color="auto" w:fill="auto"/>
            <w:vAlign w:val="center"/>
          </w:tcPr>
          <w:p w:rsidR="00D34A8C" w:rsidRPr="00C4219F" w:rsidRDefault="00D34A8C" w:rsidP="00D34A8C">
            <w:pPr>
              <w:spacing w:after="0" w:line="240" w:lineRule="auto"/>
              <w:jc w:val="right"/>
              <w:rPr>
                <w:rFonts w:ascii="Times New Roman" w:eastAsia="Times New Roman" w:hAnsi="Times New Roman" w:cs="Times New Roman"/>
              </w:rPr>
            </w:pP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2735B6" w:rsidP="00B035DC">
            <w:pPr>
              <w:spacing w:after="0" w:line="240" w:lineRule="auto"/>
              <w:ind w:firstLineChars="800" w:firstLine="1760"/>
              <w:rPr>
                <w:rFonts w:ascii="Times New Roman" w:eastAsia="Times New Roman" w:hAnsi="Times New Roman" w:cs="Times New Roman"/>
              </w:rPr>
            </w:pPr>
            <w:r>
              <w:rPr>
                <w:rFonts w:ascii="Times New Roman" w:eastAsia="Times New Roman" w:hAnsi="Times New Roman" w:cs="Times New Roman"/>
              </w:rPr>
              <w:t>T</w:t>
            </w:r>
            <w:r w:rsidR="00D34A8C" w:rsidRPr="00C4219F">
              <w:rPr>
                <w:rFonts w:ascii="Times New Roman" w:eastAsia="Times New Roman" w:hAnsi="Times New Roman" w:cs="Times New Roman"/>
              </w:rPr>
              <w:t>otal Current Liabilities</w:t>
            </w:r>
          </w:p>
        </w:tc>
        <w:tc>
          <w:tcPr>
            <w:tcW w:w="2360" w:type="dxa"/>
            <w:tcBorders>
              <w:top w:val="nil"/>
              <w:left w:val="nil"/>
              <w:bottom w:val="single" w:sz="4" w:space="0" w:color="auto"/>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4,542,305</w:t>
            </w:r>
          </w:p>
        </w:tc>
        <w:tc>
          <w:tcPr>
            <w:tcW w:w="1840" w:type="dxa"/>
            <w:tcBorders>
              <w:top w:val="nil"/>
              <w:left w:val="nil"/>
              <w:bottom w:val="single" w:sz="4" w:space="0" w:color="auto"/>
              <w:right w:val="nil"/>
            </w:tcBorders>
            <w:shd w:val="clear" w:color="auto" w:fill="auto"/>
            <w:vAlign w:val="center"/>
            <w:hideMark/>
          </w:tcPr>
          <w:p w:rsidR="00D34A8C" w:rsidRPr="00C4219F" w:rsidRDefault="002735B6" w:rsidP="00B035DC">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4,325,957</w:t>
            </w:r>
          </w:p>
        </w:tc>
      </w:tr>
      <w:tr w:rsidR="00D34A8C" w:rsidRPr="00C4219F" w:rsidTr="00B035DC">
        <w:trPr>
          <w:trHeight w:val="302"/>
        </w:trPr>
        <w:tc>
          <w:tcPr>
            <w:tcW w:w="6120" w:type="dxa"/>
            <w:tcBorders>
              <w:top w:val="nil"/>
              <w:left w:val="nil"/>
              <w:bottom w:val="nil"/>
              <w:right w:val="nil"/>
            </w:tcBorders>
            <w:shd w:val="clear" w:color="auto" w:fill="auto"/>
            <w:vAlign w:val="bottom"/>
            <w:hideMark/>
          </w:tcPr>
          <w:p w:rsidR="00D34A8C" w:rsidRPr="00C4219F" w:rsidRDefault="00D34A8C" w:rsidP="00B035DC">
            <w:pPr>
              <w:spacing w:after="0" w:line="240" w:lineRule="auto"/>
              <w:ind w:firstLineChars="900" w:firstLine="1980"/>
              <w:rPr>
                <w:rFonts w:ascii="Times New Roman" w:eastAsia="Times New Roman" w:hAnsi="Times New Roman" w:cs="Times New Roman"/>
              </w:rPr>
            </w:pPr>
            <w:r w:rsidRPr="00C4219F">
              <w:rPr>
                <w:rFonts w:ascii="Times New Roman" w:eastAsia="Times New Roman" w:hAnsi="Times New Roman" w:cs="Times New Roman"/>
              </w:rPr>
              <w:t>Total Liabilities</w:t>
            </w:r>
          </w:p>
        </w:tc>
        <w:tc>
          <w:tcPr>
            <w:tcW w:w="2360" w:type="dxa"/>
            <w:tcBorders>
              <w:top w:val="nil"/>
              <w:left w:val="nil"/>
              <w:bottom w:val="single" w:sz="4" w:space="0" w:color="auto"/>
              <w:right w:val="nil"/>
            </w:tcBorders>
            <w:shd w:val="clear" w:color="auto" w:fill="auto"/>
            <w:vAlign w:val="bottom"/>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4,542,305</w:t>
            </w:r>
          </w:p>
        </w:tc>
        <w:tc>
          <w:tcPr>
            <w:tcW w:w="1840" w:type="dxa"/>
            <w:tcBorders>
              <w:top w:val="nil"/>
              <w:left w:val="nil"/>
              <w:bottom w:val="single" w:sz="4" w:space="0" w:color="auto"/>
              <w:right w:val="nil"/>
            </w:tcBorders>
            <w:shd w:val="clear" w:color="auto" w:fill="auto"/>
            <w:vAlign w:val="bottom"/>
            <w:hideMark/>
          </w:tcPr>
          <w:p w:rsidR="00D34A8C" w:rsidRPr="00C4219F" w:rsidRDefault="002735B6" w:rsidP="00B035DC">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4,325,957</w:t>
            </w:r>
          </w:p>
        </w:tc>
      </w:tr>
      <w:tr w:rsidR="00D34A8C" w:rsidRPr="00C4219F" w:rsidTr="00B035DC">
        <w:trPr>
          <w:trHeight w:val="302"/>
        </w:trPr>
        <w:tc>
          <w:tcPr>
            <w:tcW w:w="6120" w:type="dxa"/>
            <w:tcBorders>
              <w:top w:val="nil"/>
              <w:left w:val="nil"/>
              <w:bottom w:val="nil"/>
              <w:right w:val="nil"/>
            </w:tcBorders>
            <w:shd w:val="clear" w:color="auto" w:fill="auto"/>
            <w:vAlign w:val="bottom"/>
            <w:hideMark/>
          </w:tcPr>
          <w:p w:rsidR="00D34A8C" w:rsidRPr="00C4219F" w:rsidRDefault="00D34A8C" w:rsidP="00B035DC">
            <w:pPr>
              <w:spacing w:after="0" w:line="240" w:lineRule="auto"/>
              <w:ind w:firstLineChars="200" w:firstLine="442"/>
              <w:rPr>
                <w:rFonts w:ascii="Times New Roman" w:eastAsia="Times New Roman" w:hAnsi="Times New Roman" w:cs="Times New Roman"/>
                <w:b/>
                <w:bCs/>
              </w:rPr>
            </w:pPr>
            <w:r w:rsidRPr="00C4219F">
              <w:rPr>
                <w:rFonts w:ascii="Times New Roman" w:eastAsia="Times New Roman" w:hAnsi="Times New Roman" w:cs="Times New Roman"/>
                <w:b/>
                <w:bCs/>
              </w:rPr>
              <w:t>NET POSITION</w:t>
            </w:r>
          </w:p>
        </w:tc>
        <w:tc>
          <w:tcPr>
            <w:tcW w:w="236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r w:rsidRPr="00C4219F">
              <w:rPr>
                <w:rFonts w:ascii="Times New Roman" w:eastAsia="Times New Roman" w:hAnsi="Times New Roman" w:cs="Times New Roman"/>
                <w:color w:val="000000"/>
              </w:rPr>
              <w:t> </w:t>
            </w:r>
          </w:p>
        </w:tc>
        <w:tc>
          <w:tcPr>
            <w:tcW w:w="1840" w:type="dxa"/>
            <w:tcBorders>
              <w:top w:val="nil"/>
              <w:left w:val="nil"/>
              <w:bottom w:val="nil"/>
              <w:right w:val="nil"/>
            </w:tcBorders>
            <w:shd w:val="clear" w:color="auto" w:fill="auto"/>
            <w:hideMark/>
          </w:tcPr>
          <w:p w:rsidR="00D34A8C" w:rsidRPr="00C4219F" w:rsidRDefault="00D34A8C" w:rsidP="00D34A8C">
            <w:pPr>
              <w:spacing w:after="0" w:line="240" w:lineRule="auto"/>
              <w:rPr>
                <w:rFonts w:ascii="Times New Roman" w:eastAsia="Times New Roman" w:hAnsi="Times New Roman" w:cs="Times New Roman"/>
                <w:color w:val="000000"/>
              </w:rPr>
            </w:pPr>
            <w:r w:rsidRPr="00C4219F">
              <w:rPr>
                <w:rFonts w:ascii="Times New Roman" w:eastAsia="Times New Roman" w:hAnsi="Times New Roman" w:cs="Times New Roman"/>
                <w:color w:val="000000"/>
              </w:rPr>
              <w:t> </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rPr>
                <w:rFonts w:ascii="Times New Roman" w:eastAsia="Times New Roman" w:hAnsi="Times New Roman" w:cs="Times New Roman"/>
              </w:rPr>
            </w:pPr>
            <w:r w:rsidRPr="00C4219F">
              <w:rPr>
                <w:rFonts w:ascii="Times New Roman" w:eastAsia="Times New Roman" w:hAnsi="Times New Roman" w:cs="Times New Roman"/>
              </w:rPr>
              <w:t>Restricted for contingency reserve - Section 4706(a)(5)</w:t>
            </w:r>
          </w:p>
        </w:tc>
        <w:tc>
          <w:tcPr>
            <w:tcW w:w="236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1,803,165</w:t>
            </w:r>
          </w:p>
        </w:tc>
        <w:tc>
          <w:tcPr>
            <w:tcW w:w="1840" w:type="dxa"/>
            <w:tcBorders>
              <w:top w:val="nil"/>
              <w:left w:val="nil"/>
              <w:bottom w:val="nil"/>
              <w:right w:val="nil"/>
            </w:tcBorders>
            <w:shd w:val="clear" w:color="auto" w:fill="auto"/>
            <w:vAlign w:val="center"/>
            <w:hideMark/>
          </w:tcPr>
          <w:p w:rsidR="00D34A8C" w:rsidRPr="00C4219F" w:rsidRDefault="002735B6"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1,879,368</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rPr>
                <w:rFonts w:ascii="Times New Roman" w:eastAsia="Times New Roman" w:hAnsi="Times New Roman" w:cs="Times New Roman"/>
              </w:rPr>
            </w:pPr>
            <w:r w:rsidRPr="00C4219F">
              <w:rPr>
                <w:rFonts w:ascii="Times New Roman" w:eastAsia="Times New Roman" w:hAnsi="Times New Roman" w:cs="Times New Roman"/>
              </w:rPr>
              <w:t>Catastrophic claims reserve</w:t>
            </w:r>
          </w:p>
        </w:tc>
        <w:tc>
          <w:tcPr>
            <w:tcW w:w="236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606,898</w:t>
            </w:r>
          </w:p>
        </w:tc>
        <w:tc>
          <w:tcPr>
            <w:tcW w:w="1840" w:type="dxa"/>
            <w:tcBorders>
              <w:top w:val="nil"/>
              <w:left w:val="nil"/>
              <w:bottom w:val="nil"/>
              <w:right w:val="nil"/>
            </w:tcBorders>
            <w:shd w:val="clear" w:color="auto" w:fill="auto"/>
            <w:vAlign w:val="center"/>
            <w:hideMark/>
          </w:tcPr>
          <w:p w:rsidR="00D34A8C" w:rsidRPr="00C4219F" w:rsidRDefault="002735B6"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1,050,000</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rPr>
                <w:rFonts w:ascii="Times New Roman" w:eastAsia="Times New Roman" w:hAnsi="Times New Roman" w:cs="Times New Roman"/>
              </w:rPr>
            </w:pPr>
            <w:r w:rsidRPr="00C4219F">
              <w:rPr>
                <w:rFonts w:ascii="Times New Roman" w:eastAsia="Times New Roman" w:hAnsi="Times New Roman" w:cs="Times New Roman"/>
              </w:rPr>
              <w:t>Adjustment for incurred but not reported claims</w:t>
            </w:r>
          </w:p>
        </w:tc>
        <w:tc>
          <w:tcPr>
            <w:tcW w:w="2360" w:type="dxa"/>
            <w:tcBorders>
              <w:top w:val="nil"/>
              <w:left w:val="nil"/>
              <w:bottom w:val="single" w:sz="4" w:space="0" w:color="auto"/>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(1,039,180)</w:t>
            </w:r>
          </w:p>
        </w:tc>
        <w:tc>
          <w:tcPr>
            <w:tcW w:w="1840" w:type="dxa"/>
            <w:tcBorders>
              <w:top w:val="nil"/>
              <w:left w:val="nil"/>
              <w:bottom w:val="single" w:sz="4" w:space="0" w:color="auto"/>
              <w:right w:val="nil"/>
            </w:tcBorders>
            <w:shd w:val="clear" w:color="auto" w:fill="auto"/>
            <w:vAlign w:val="center"/>
            <w:hideMark/>
          </w:tcPr>
          <w:p w:rsidR="00D34A8C" w:rsidRPr="00C4219F" w:rsidRDefault="002735B6"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(1,361,219</w:t>
            </w:r>
            <w:r w:rsidR="00D34A8C" w:rsidRPr="00C4219F">
              <w:rPr>
                <w:rFonts w:ascii="Times New Roman" w:eastAsia="Times New Roman" w:hAnsi="Times New Roman" w:cs="Times New Roman"/>
              </w:rPr>
              <w:t>)</w:t>
            </w:r>
          </w:p>
        </w:tc>
      </w:tr>
      <w:tr w:rsidR="00D34A8C" w:rsidRPr="00C4219F" w:rsidTr="00B035DC">
        <w:trPr>
          <w:trHeight w:val="302"/>
        </w:trPr>
        <w:tc>
          <w:tcPr>
            <w:tcW w:w="6120" w:type="dxa"/>
            <w:tcBorders>
              <w:top w:val="nil"/>
              <w:left w:val="nil"/>
              <w:bottom w:val="nil"/>
              <w:right w:val="nil"/>
            </w:tcBorders>
            <w:shd w:val="clear" w:color="auto" w:fill="auto"/>
            <w:hideMark/>
          </w:tcPr>
          <w:p w:rsidR="00D34A8C" w:rsidRPr="00C4219F" w:rsidRDefault="00D34A8C" w:rsidP="00B035DC">
            <w:pPr>
              <w:spacing w:after="0" w:line="240" w:lineRule="auto"/>
              <w:ind w:firstLineChars="800" w:firstLine="1760"/>
              <w:rPr>
                <w:rFonts w:ascii="Times New Roman" w:eastAsia="Times New Roman" w:hAnsi="Times New Roman" w:cs="Times New Roman"/>
              </w:rPr>
            </w:pPr>
            <w:r w:rsidRPr="00C4219F">
              <w:rPr>
                <w:rFonts w:ascii="Times New Roman" w:eastAsia="Times New Roman" w:hAnsi="Times New Roman" w:cs="Times New Roman"/>
              </w:rPr>
              <w:t>Subtotal</w:t>
            </w:r>
          </w:p>
        </w:tc>
        <w:tc>
          <w:tcPr>
            <w:tcW w:w="2360" w:type="dxa"/>
            <w:tcBorders>
              <w:top w:val="nil"/>
              <w:left w:val="nil"/>
              <w:bottom w:val="nil"/>
              <w:right w:val="nil"/>
            </w:tcBorders>
            <w:shd w:val="clear" w:color="auto" w:fill="auto"/>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1,370,883</w:t>
            </w:r>
          </w:p>
        </w:tc>
        <w:tc>
          <w:tcPr>
            <w:tcW w:w="1840" w:type="dxa"/>
            <w:tcBorders>
              <w:top w:val="nil"/>
              <w:left w:val="nil"/>
              <w:bottom w:val="nil"/>
              <w:right w:val="nil"/>
            </w:tcBorders>
            <w:shd w:val="clear" w:color="auto" w:fill="auto"/>
            <w:hideMark/>
          </w:tcPr>
          <w:p w:rsidR="00D34A8C" w:rsidRPr="00C4219F" w:rsidRDefault="003E6C2E"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1,568,149</w:t>
            </w:r>
          </w:p>
        </w:tc>
      </w:tr>
      <w:tr w:rsidR="00D34A8C" w:rsidRPr="00C4219F" w:rsidTr="00B035DC">
        <w:trPr>
          <w:trHeight w:val="302"/>
        </w:trPr>
        <w:tc>
          <w:tcPr>
            <w:tcW w:w="6120" w:type="dxa"/>
            <w:tcBorders>
              <w:top w:val="nil"/>
              <w:left w:val="nil"/>
              <w:bottom w:val="nil"/>
              <w:right w:val="nil"/>
            </w:tcBorders>
            <w:shd w:val="clear" w:color="auto" w:fill="auto"/>
            <w:vAlign w:val="center"/>
            <w:hideMark/>
          </w:tcPr>
          <w:p w:rsidR="00D34A8C" w:rsidRPr="00C4219F" w:rsidRDefault="00D34A8C" w:rsidP="00B035DC">
            <w:pPr>
              <w:spacing w:after="0" w:line="240" w:lineRule="auto"/>
              <w:ind w:firstLineChars="300" w:firstLine="660"/>
              <w:rPr>
                <w:rFonts w:ascii="Times New Roman" w:eastAsia="Times New Roman" w:hAnsi="Times New Roman" w:cs="Times New Roman"/>
              </w:rPr>
            </w:pPr>
            <w:r w:rsidRPr="00C4219F">
              <w:rPr>
                <w:rFonts w:ascii="Times New Roman" w:eastAsia="Times New Roman" w:hAnsi="Times New Roman" w:cs="Times New Roman"/>
              </w:rPr>
              <w:t>Unassigned</w:t>
            </w:r>
          </w:p>
        </w:tc>
        <w:tc>
          <w:tcPr>
            <w:tcW w:w="2360" w:type="dxa"/>
            <w:tcBorders>
              <w:top w:val="nil"/>
              <w:left w:val="nil"/>
              <w:bottom w:val="single" w:sz="4" w:space="0" w:color="auto"/>
              <w:right w:val="nil"/>
            </w:tcBorders>
            <w:shd w:val="clear" w:color="auto" w:fill="auto"/>
            <w:vAlign w:val="center"/>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9,529,816</w:t>
            </w:r>
          </w:p>
        </w:tc>
        <w:tc>
          <w:tcPr>
            <w:tcW w:w="1840" w:type="dxa"/>
            <w:tcBorders>
              <w:top w:val="nil"/>
              <w:left w:val="nil"/>
              <w:bottom w:val="single" w:sz="4" w:space="0" w:color="auto"/>
              <w:right w:val="nil"/>
            </w:tcBorders>
            <w:shd w:val="clear" w:color="auto" w:fill="auto"/>
            <w:vAlign w:val="center"/>
            <w:hideMark/>
          </w:tcPr>
          <w:p w:rsidR="00D34A8C" w:rsidRPr="00C4219F" w:rsidRDefault="003E6C2E"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14,746,529</w:t>
            </w:r>
          </w:p>
        </w:tc>
      </w:tr>
      <w:tr w:rsidR="00D34A8C" w:rsidRPr="00C4219F" w:rsidTr="00B035DC">
        <w:trPr>
          <w:trHeight w:val="302"/>
        </w:trPr>
        <w:tc>
          <w:tcPr>
            <w:tcW w:w="6120" w:type="dxa"/>
            <w:tcBorders>
              <w:top w:val="nil"/>
              <w:left w:val="nil"/>
              <w:bottom w:val="nil"/>
              <w:right w:val="nil"/>
            </w:tcBorders>
            <w:shd w:val="clear" w:color="auto" w:fill="auto"/>
            <w:vAlign w:val="bottom"/>
            <w:hideMark/>
          </w:tcPr>
          <w:p w:rsidR="00D34A8C" w:rsidRPr="00C4219F" w:rsidRDefault="00D34A8C" w:rsidP="00B035DC">
            <w:pPr>
              <w:spacing w:after="0" w:line="240" w:lineRule="auto"/>
              <w:ind w:firstLineChars="900" w:firstLine="1980"/>
              <w:rPr>
                <w:rFonts w:ascii="Times New Roman" w:eastAsia="Times New Roman" w:hAnsi="Times New Roman" w:cs="Times New Roman"/>
              </w:rPr>
            </w:pPr>
            <w:r w:rsidRPr="00C4219F">
              <w:rPr>
                <w:rFonts w:ascii="Times New Roman" w:eastAsia="Times New Roman" w:hAnsi="Times New Roman" w:cs="Times New Roman"/>
              </w:rPr>
              <w:t>Total Net Position</w:t>
            </w:r>
          </w:p>
        </w:tc>
        <w:tc>
          <w:tcPr>
            <w:tcW w:w="2360" w:type="dxa"/>
            <w:tcBorders>
              <w:top w:val="nil"/>
              <w:left w:val="nil"/>
              <w:bottom w:val="double" w:sz="6" w:space="0" w:color="auto"/>
              <w:right w:val="nil"/>
            </w:tcBorders>
            <w:shd w:val="clear" w:color="auto" w:fill="auto"/>
            <w:vAlign w:val="bottom"/>
            <w:hideMark/>
          </w:tcPr>
          <w:p w:rsidR="00D34A8C" w:rsidRPr="00C4219F" w:rsidRDefault="00D34A8C" w:rsidP="00B035DC">
            <w:pPr>
              <w:spacing w:after="0" w:line="240" w:lineRule="auto"/>
              <w:ind w:firstLineChars="300" w:firstLine="660"/>
              <w:jc w:val="right"/>
              <w:rPr>
                <w:rFonts w:ascii="Times New Roman" w:eastAsia="Times New Roman" w:hAnsi="Times New Roman" w:cs="Times New Roman"/>
              </w:rPr>
            </w:pPr>
            <w:r w:rsidRPr="00C4219F">
              <w:rPr>
                <w:rFonts w:ascii="Times New Roman" w:eastAsia="Times New Roman" w:hAnsi="Times New Roman" w:cs="Times New Roman"/>
              </w:rPr>
              <w:t>$10,900,699</w:t>
            </w:r>
          </w:p>
        </w:tc>
        <w:tc>
          <w:tcPr>
            <w:tcW w:w="1840" w:type="dxa"/>
            <w:tcBorders>
              <w:top w:val="nil"/>
              <w:left w:val="nil"/>
              <w:bottom w:val="double" w:sz="6" w:space="0" w:color="auto"/>
              <w:right w:val="nil"/>
            </w:tcBorders>
            <w:shd w:val="clear" w:color="auto" w:fill="auto"/>
            <w:vAlign w:val="bottom"/>
            <w:hideMark/>
          </w:tcPr>
          <w:p w:rsidR="00D34A8C" w:rsidRPr="00C4219F" w:rsidRDefault="003E6C2E" w:rsidP="00D34A8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$17,827,965</w:t>
            </w:r>
          </w:p>
        </w:tc>
      </w:tr>
    </w:tbl>
    <w:p w:rsidR="006701D2" w:rsidRDefault="006701D2" w:rsidP="00B035DC">
      <w:pPr>
        <w:autoSpaceDE w:val="0"/>
        <w:autoSpaceDN w:val="0"/>
        <w:adjustRightInd w:val="0"/>
        <w:spacing w:after="0" w:line="240" w:lineRule="auto"/>
        <w:jc w:val="center"/>
        <w:rPr>
          <w:rFonts w:ascii="Times New Roman" w:hAnsi="Times New Roman" w:cs="Times New Roman"/>
          <w:sz w:val="24"/>
          <w:szCs w:val="24"/>
        </w:rPr>
      </w:pPr>
    </w:p>
    <w:p w:rsidR="00B035DC" w:rsidRPr="00C4219F" w:rsidRDefault="00B035DC" w:rsidP="00B035DC">
      <w:pPr>
        <w:autoSpaceDE w:val="0"/>
        <w:autoSpaceDN w:val="0"/>
        <w:adjustRightInd w:val="0"/>
        <w:spacing w:after="0" w:line="240" w:lineRule="auto"/>
        <w:jc w:val="center"/>
        <w:rPr>
          <w:rFonts w:ascii="Times New Roman" w:hAnsi="Times New Roman" w:cs="Times New Roman"/>
          <w:sz w:val="24"/>
          <w:szCs w:val="24"/>
        </w:rPr>
      </w:pPr>
      <w:r w:rsidRPr="00C4219F">
        <w:rPr>
          <w:rFonts w:ascii="Times New Roman" w:hAnsi="Times New Roman" w:cs="Times New Roman"/>
          <w:sz w:val="24"/>
          <w:szCs w:val="24"/>
        </w:rPr>
        <w:t>Statements of Revenues, Expenses, and Changes in Net Position</w:t>
      </w:r>
    </w:p>
    <w:p w:rsidR="009C2E62" w:rsidRPr="00782571" w:rsidRDefault="00B035DC" w:rsidP="00782571">
      <w:pPr>
        <w:autoSpaceDE w:val="0"/>
        <w:autoSpaceDN w:val="0"/>
        <w:adjustRightInd w:val="0"/>
        <w:spacing w:after="0" w:line="240" w:lineRule="auto"/>
        <w:jc w:val="center"/>
        <w:rPr>
          <w:rFonts w:ascii="Times New Roman" w:hAnsi="Times New Roman" w:cs="Times New Roman"/>
          <w:sz w:val="24"/>
          <w:szCs w:val="24"/>
        </w:rPr>
      </w:pPr>
      <w:r w:rsidRPr="00C4219F">
        <w:rPr>
          <w:rFonts w:ascii="Times New Roman" w:hAnsi="Times New Roman" w:cs="Times New Roman"/>
          <w:sz w:val="24"/>
          <w:szCs w:val="24"/>
        </w:rPr>
        <w:t>For the Years Ended December 31,</w:t>
      </w:r>
    </w:p>
    <w:tbl>
      <w:tblPr>
        <w:tblW w:w="10360" w:type="dxa"/>
        <w:tblInd w:w="-432" w:type="dxa"/>
        <w:tblLook w:val="04A0" w:firstRow="1" w:lastRow="0" w:firstColumn="1" w:lastColumn="0" w:noHBand="0" w:noVBand="1"/>
      </w:tblPr>
      <w:tblGrid>
        <w:gridCol w:w="5505"/>
        <w:gridCol w:w="2958"/>
        <w:gridCol w:w="1897"/>
      </w:tblGrid>
      <w:tr w:rsidR="00B035DC" w:rsidRPr="00612021" w:rsidTr="00B035DC">
        <w:trPr>
          <w:trHeight w:val="480"/>
        </w:trPr>
        <w:tc>
          <w:tcPr>
            <w:tcW w:w="5505" w:type="dxa"/>
            <w:vMerge w:val="restart"/>
            <w:tcBorders>
              <w:top w:val="nil"/>
              <w:left w:val="nil"/>
              <w:bottom w:val="nil"/>
              <w:right w:val="nil"/>
            </w:tcBorders>
            <w:shd w:val="clear" w:color="auto" w:fill="auto"/>
            <w:vAlign w:val="bottom"/>
            <w:hideMark/>
          </w:tcPr>
          <w:p w:rsidR="00B035DC" w:rsidRPr="00612021" w:rsidRDefault="00B035DC" w:rsidP="00B035DC">
            <w:pPr>
              <w:spacing w:after="0" w:line="240" w:lineRule="auto"/>
              <w:ind w:firstLineChars="300" w:firstLine="57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Operating Revenues:</w:t>
            </w:r>
          </w:p>
        </w:tc>
        <w:tc>
          <w:tcPr>
            <w:tcW w:w="2958" w:type="dxa"/>
            <w:tcBorders>
              <w:top w:val="nil"/>
              <w:left w:val="nil"/>
              <w:bottom w:val="single" w:sz="4" w:space="0" w:color="auto"/>
              <w:right w:val="nil"/>
            </w:tcBorders>
            <w:shd w:val="clear" w:color="auto" w:fill="auto"/>
            <w:vAlign w:val="bottom"/>
            <w:hideMark/>
          </w:tcPr>
          <w:p w:rsidR="00B035DC" w:rsidRPr="00612021" w:rsidRDefault="00B035DC" w:rsidP="00B035DC">
            <w:pPr>
              <w:spacing w:after="0" w:line="240" w:lineRule="auto"/>
              <w:ind w:firstLineChars="1214" w:firstLine="2307"/>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2014</w:t>
            </w:r>
          </w:p>
        </w:tc>
        <w:tc>
          <w:tcPr>
            <w:tcW w:w="1897" w:type="dxa"/>
            <w:tcBorders>
              <w:top w:val="nil"/>
              <w:left w:val="nil"/>
              <w:bottom w:val="single" w:sz="4" w:space="0" w:color="auto"/>
              <w:right w:val="nil"/>
            </w:tcBorders>
            <w:shd w:val="clear" w:color="auto" w:fill="auto"/>
            <w:vAlign w:val="bottom"/>
            <w:hideMark/>
          </w:tcPr>
          <w:p w:rsidR="00B035DC" w:rsidRPr="00612021" w:rsidRDefault="003E0B87" w:rsidP="00B035DC">
            <w:pPr>
              <w:spacing w:after="0" w:line="240" w:lineRule="auto"/>
              <w:ind w:firstLineChars="604" w:firstLine="1148"/>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2015</w:t>
            </w:r>
          </w:p>
        </w:tc>
      </w:tr>
      <w:tr w:rsidR="00B035DC" w:rsidRPr="00612021" w:rsidTr="00B035DC">
        <w:trPr>
          <w:trHeight w:val="240"/>
        </w:trPr>
        <w:tc>
          <w:tcPr>
            <w:tcW w:w="5505" w:type="dxa"/>
            <w:vMerge/>
            <w:tcBorders>
              <w:top w:val="nil"/>
              <w:left w:val="nil"/>
              <w:bottom w:val="nil"/>
              <w:right w:val="nil"/>
            </w:tcBorders>
            <w:vAlign w:val="center"/>
            <w:hideMark/>
          </w:tcPr>
          <w:p w:rsidR="00B035DC" w:rsidRPr="00612021" w:rsidRDefault="00B035DC" w:rsidP="00B035DC">
            <w:pPr>
              <w:spacing w:after="0" w:line="240" w:lineRule="auto"/>
              <w:rPr>
                <w:rFonts w:ascii="Times New Roman" w:eastAsia="Times New Roman" w:hAnsi="Times New Roman" w:cs="Times New Roman"/>
                <w:sz w:val="19"/>
                <w:szCs w:val="19"/>
              </w:rPr>
            </w:pPr>
          </w:p>
        </w:tc>
        <w:tc>
          <w:tcPr>
            <w:tcW w:w="2958" w:type="dxa"/>
            <w:tcBorders>
              <w:top w:val="nil"/>
              <w:left w:val="nil"/>
              <w:bottom w:val="nil"/>
              <w:right w:val="nil"/>
            </w:tcBorders>
            <w:shd w:val="clear" w:color="auto" w:fill="auto"/>
            <w:hideMark/>
          </w:tcPr>
          <w:p w:rsidR="00B035DC" w:rsidRPr="00612021" w:rsidRDefault="00B035DC" w:rsidP="00B035DC">
            <w:pPr>
              <w:spacing w:after="0" w:line="240" w:lineRule="auto"/>
              <w:rPr>
                <w:rFonts w:ascii="Times New Roman" w:eastAsia="Times New Roman" w:hAnsi="Times New Roman" w:cs="Times New Roman"/>
                <w:color w:val="000000"/>
              </w:rPr>
            </w:pPr>
            <w:r w:rsidRPr="00612021">
              <w:rPr>
                <w:rFonts w:ascii="Times New Roman" w:eastAsia="Times New Roman" w:hAnsi="Times New Roman" w:cs="Times New Roman"/>
                <w:color w:val="000000"/>
              </w:rPr>
              <w:t> </w:t>
            </w:r>
          </w:p>
        </w:tc>
        <w:tc>
          <w:tcPr>
            <w:tcW w:w="1897" w:type="dxa"/>
            <w:tcBorders>
              <w:top w:val="nil"/>
              <w:left w:val="nil"/>
              <w:bottom w:val="nil"/>
              <w:right w:val="nil"/>
            </w:tcBorders>
            <w:shd w:val="clear" w:color="auto" w:fill="auto"/>
            <w:hideMark/>
          </w:tcPr>
          <w:p w:rsidR="00B035DC" w:rsidRPr="00612021" w:rsidRDefault="00B035DC" w:rsidP="00B035DC">
            <w:pPr>
              <w:spacing w:after="0" w:line="240" w:lineRule="auto"/>
              <w:rPr>
                <w:rFonts w:ascii="Times New Roman" w:eastAsia="Times New Roman" w:hAnsi="Times New Roman" w:cs="Times New Roman"/>
                <w:color w:val="000000"/>
              </w:rPr>
            </w:pPr>
            <w:r w:rsidRPr="00612021">
              <w:rPr>
                <w:rFonts w:ascii="Times New Roman" w:eastAsia="Times New Roman" w:hAnsi="Times New Roman" w:cs="Times New Roman"/>
                <w:color w:val="000000"/>
              </w:rPr>
              <w:t> </w:t>
            </w:r>
          </w:p>
        </w:tc>
      </w:tr>
      <w:tr w:rsidR="00B035DC" w:rsidRPr="00612021" w:rsidTr="00025D9F">
        <w:trPr>
          <w:trHeight w:val="255"/>
        </w:trPr>
        <w:tc>
          <w:tcPr>
            <w:tcW w:w="5505"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Premiums</w:t>
            </w:r>
          </w:p>
        </w:tc>
        <w:tc>
          <w:tcPr>
            <w:tcW w:w="2958" w:type="dxa"/>
            <w:tcBorders>
              <w:top w:val="nil"/>
              <w:left w:val="nil"/>
              <w:right w:val="nil"/>
            </w:tcBorders>
            <w:shd w:val="clear" w:color="auto" w:fill="auto"/>
            <w:vAlign w:val="center"/>
            <w:hideMark/>
          </w:tcPr>
          <w:p w:rsidR="00B035DC" w:rsidRPr="00612021" w:rsidRDefault="00B035DC" w:rsidP="00B035DC">
            <w:pPr>
              <w:spacing w:after="0" w:line="240" w:lineRule="auto"/>
              <w:ind w:firstLineChars="400" w:firstLine="76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$36,063,291</w:t>
            </w:r>
          </w:p>
        </w:tc>
        <w:tc>
          <w:tcPr>
            <w:tcW w:w="1897" w:type="dxa"/>
            <w:tcBorders>
              <w:top w:val="nil"/>
              <w:left w:val="nil"/>
              <w:right w:val="nil"/>
            </w:tcBorders>
            <w:shd w:val="clear" w:color="auto" w:fill="auto"/>
            <w:vAlign w:val="center"/>
            <w:hideMark/>
          </w:tcPr>
          <w:p w:rsidR="00B035DC" w:rsidRPr="00612021" w:rsidRDefault="003E6C2E"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$37,587,353</w:t>
            </w:r>
          </w:p>
        </w:tc>
      </w:tr>
      <w:tr w:rsidR="00B035DC" w:rsidRPr="00612021" w:rsidTr="00025D9F">
        <w:trPr>
          <w:trHeight w:val="225"/>
        </w:trPr>
        <w:tc>
          <w:tcPr>
            <w:tcW w:w="5505" w:type="dxa"/>
            <w:tcBorders>
              <w:top w:val="nil"/>
              <w:left w:val="nil"/>
              <w:bottom w:val="nil"/>
              <w:right w:val="nil"/>
            </w:tcBorders>
            <w:shd w:val="clear" w:color="auto" w:fill="auto"/>
            <w:vAlign w:val="center"/>
            <w:hideMark/>
          </w:tcPr>
          <w:p w:rsidR="00B035DC" w:rsidRPr="00612021" w:rsidRDefault="00520D82" w:rsidP="00520D8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B035DC" w:rsidRPr="00612021">
              <w:rPr>
                <w:rFonts w:ascii="Times New Roman" w:eastAsia="Times New Roman" w:hAnsi="Times New Roman" w:cs="Times New Roman"/>
                <w:sz w:val="19"/>
                <w:szCs w:val="19"/>
              </w:rPr>
              <w:t>Aggregate write-ins for other revenues</w:t>
            </w:r>
          </w:p>
        </w:tc>
        <w:tc>
          <w:tcPr>
            <w:tcW w:w="2958" w:type="dxa"/>
            <w:tcBorders>
              <w:top w:val="nil"/>
              <w:left w:val="nil"/>
              <w:right w:val="nil"/>
            </w:tcBorders>
            <w:shd w:val="clear" w:color="auto" w:fill="auto"/>
            <w:vAlign w:val="center"/>
            <w:hideMark/>
          </w:tcPr>
          <w:p w:rsidR="00B035DC" w:rsidRDefault="00B035DC" w:rsidP="00520D82">
            <w:pPr>
              <w:spacing w:after="0" w:line="240" w:lineRule="auto"/>
              <w:ind w:firstLineChars="300" w:firstLine="57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134,659</w:t>
            </w:r>
          </w:p>
          <w:p w:rsidR="003E6C2E" w:rsidRPr="00612021" w:rsidRDefault="003E6C2E" w:rsidP="00B035DC">
            <w:pPr>
              <w:spacing w:after="0" w:line="240" w:lineRule="auto"/>
              <w:ind w:firstLineChars="300" w:firstLine="570"/>
              <w:jc w:val="right"/>
              <w:rPr>
                <w:rFonts w:ascii="Times New Roman" w:eastAsia="Times New Roman" w:hAnsi="Times New Roman" w:cs="Times New Roman"/>
                <w:sz w:val="19"/>
                <w:szCs w:val="19"/>
              </w:rPr>
            </w:pPr>
          </w:p>
        </w:tc>
        <w:tc>
          <w:tcPr>
            <w:tcW w:w="1897" w:type="dxa"/>
            <w:tcBorders>
              <w:top w:val="nil"/>
              <w:left w:val="nil"/>
              <w:right w:val="nil"/>
            </w:tcBorders>
            <w:shd w:val="clear" w:color="auto" w:fill="auto"/>
            <w:vAlign w:val="center"/>
            <w:hideMark/>
          </w:tcPr>
          <w:p w:rsidR="00B035DC" w:rsidRPr="00612021" w:rsidRDefault="003E6C2E" w:rsidP="00520D82">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128,523</w:t>
            </w:r>
          </w:p>
        </w:tc>
      </w:tr>
      <w:tr w:rsidR="00B035DC" w:rsidRPr="00612021" w:rsidTr="00025D9F">
        <w:trPr>
          <w:trHeight w:val="480"/>
        </w:trPr>
        <w:tc>
          <w:tcPr>
            <w:tcW w:w="5505" w:type="dxa"/>
            <w:tcBorders>
              <w:top w:val="nil"/>
              <w:left w:val="nil"/>
              <w:bottom w:val="nil"/>
              <w:right w:val="nil"/>
            </w:tcBorders>
            <w:shd w:val="clear" w:color="auto" w:fill="auto"/>
            <w:vAlign w:val="bottom"/>
            <w:hideMark/>
          </w:tcPr>
          <w:p w:rsidR="00B035DC" w:rsidRPr="00612021" w:rsidRDefault="00B035DC" w:rsidP="00B035DC">
            <w:pPr>
              <w:spacing w:after="0" w:line="240" w:lineRule="auto"/>
              <w:ind w:firstLineChars="400" w:firstLine="76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lastRenderedPageBreak/>
              <w:t>Total Operating Revenues</w:t>
            </w:r>
          </w:p>
        </w:tc>
        <w:tc>
          <w:tcPr>
            <w:tcW w:w="2958" w:type="dxa"/>
            <w:tcBorders>
              <w:left w:val="nil"/>
              <w:bottom w:val="single" w:sz="4" w:space="0" w:color="auto"/>
              <w:right w:val="nil"/>
            </w:tcBorders>
            <w:shd w:val="clear" w:color="auto" w:fill="auto"/>
            <w:vAlign w:val="bottom"/>
            <w:hideMark/>
          </w:tcPr>
          <w:p w:rsidR="00B035DC" w:rsidRPr="00612021" w:rsidRDefault="003E6C2E" w:rsidP="00B035DC">
            <w:pPr>
              <w:spacing w:after="0" w:line="240" w:lineRule="auto"/>
              <w:ind w:firstLineChars="300" w:firstLine="570"/>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36,</w:t>
            </w:r>
            <w:r w:rsidR="00520D82">
              <w:rPr>
                <w:rFonts w:ascii="Times New Roman" w:eastAsia="Times New Roman" w:hAnsi="Times New Roman" w:cs="Times New Roman"/>
                <w:sz w:val="19"/>
                <w:szCs w:val="19"/>
              </w:rPr>
              <w:t>197,940</w:t>
            </w:r>
          </w:p>
        </w:tc>
        <w:tc>
          <w:tcPr>
            <w:tcW w:w="1897" w:type="dxa"/>
            <w:tcBorders>
              <w:left w:val="nil"/>
              <w:bottom w:val="single" w:sz="4" w:space="0" w:color="auto"/>
              <w:right w:val="nil"/>
            </w:tcBorders>
            <w:shd w:val="clear" w:color="auto" w:fill="auto"/>
            <w:vAlign w:val="bottom"/>
            <w:hideMark/>
          </w:tcPr>
          <w:p w:rsidR="00B035DC" w:rsidRPr="00612021" w:rsidRDefault="003E6C2E"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565D4A">
              <w:rPr>
                <w:rFonts w:ascii="Times New Roman" w:eastAsia="Times New Roman" w:hAnsi="Times New Roman" w:cs="Times New Roman"/>
                <w:sz w:val="19"/>
                <w:szCs w:val="19"/>
              </w:rPr>
              <w:t>7,715,87</w:t>
            </w:r>
            <w:r w:rsidR="00520D82">
              <w:rPr>
                <w:rFonts w:ascii="Times New Roman" w:eastAsia="Times New Roman" w:hAnsi="Times New Roman" w:cs="Times New Roman"/>
                <w:sz w:val="19"/>
                <w:szCs w:val="19"/>
              </w:rPr>
              <w:t>6</w:t>
            </w:r>
          </w:p>
        </w:tc>
      </w:tr>
      <w:tr w:rsidR="00B035DC" w:rsidRPr="00612021" w:rsidTr="00B035DC">
        <w:trPr>
          <w:trHeight w:val="480"/>
        </w:trPr>
        <w:tc>
          <w:tcPr>
            <w:tcW w:w="5505" w:type="dxa"/>
            <w:tcBorders>
              <w:top w:val="nil"/>
              <w:left w:val="nil"/>
              <w:bottom w:val="nil"/>
              <w:right w:val="nil"/>
            </w:tcBorders>
            <w:shd w:val="clear" w:color="auto" w:fill="auto"/>
            <w:vAlign w:val="bottom"/>
            <w:hideMark/>
          </w:tcPr>
          <w:p w:rsidR="00B035DC" w:rsidRPr="00612021" w:rsidRDefault="00B035DC" w:rsidP="00B035DC">
            <w:pPr>
              <w:spacing w:after="0" w:line="240" w:lineRule="auto"/>
              <w:ind w:firstLineChars="100" w:firstLine="19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Operating Expenses:</w:t>
            </w:r>
          </w:p>
        </w:tc>
        <w:tc>
          <w:tcPr>
            <w:tcW w:w="2958" w:type="dxa"/>
            <w:tcBorders>
              <w:top w:val="nil"/>
              <w:left w:val="nil"/>
              <w:bottom w:val="nil"/>
              <w:right w:val="nil"/>
            </w:tcBorders>
            <w:shd w:val="clear" w:color="auto" w:fill="auto"/>
            <w:hideMark/>
          </w:tcPr>
          <w:p w:rsidR="00B035DC" w:rsidRPr="00612021" w:rsidRDefault="00B035DC" w:rsidP="00B035DC">
            <w:pPr>
              <w:spacing w:after="0" w:line="240" w:lineRule="auto"/>
              <w:rPr>
                <w:rFonts w:ascii="Times New Roman" w:eastAsia="Times New Roman" w:hAnsi="Times New Roman" w:cs="Times New Roman"/>
                <w:color w:val="000000"/>
              </w:rPr>
            </w:pPr>
            <w:r w:rsidRPr="00612021">
              <w:rPr>
                <w:rFonts w:ascii="Times New Roman" w:eastAsia="Times New Roman" w:hAnsi="Times New Roman" w:cs="Times New Roman"/>
                <w:color w:val="000000"/>
              </w:rPr>
              <w:t> </w:t>
            </w:r>
          </w:p>
        </w:tc>
        <w:tc>
          <w:tcPr>
            <w:tcW w:w="1897" w:type="dxa"/>
            <w:tcBorders>
              <w:top w:val="nil"/>
              <w:left w:val="nil"/>
              <w:bottom w:val="nil"/>
              <w:right w:val="nil"/>
            </w:tcBorders>
            <w:shd w:val="clear" w:color="auto" w:fill="auto"/>
            <w:hideMark/>
          </w:tcPr>
          <w:p w:rsidR="00B035DC" w:rsidRPr="00612021" w:rsidRDefault="00B035DC" w:rsidP="00B035DC">
            <w:pPr>
              <w:spacing w:after="0" w:line="240" w:lineRule="auto"/>
              <w:rPr>
                <w:rFonts w:ascii="Times New Roman" w:eastAsia="Times New Roman" w:hAnsi="Times New Roman" w:cs="Times New Roman"/>
                <w:color w:val="000000"/>
              </w:rPr>
            </w:pPr>
            <w:r w:rsidRPr="00612021">
              <w:rPr>
                <w:rFonts w:ascii="Times New Roman" w:eastAsia="Times New Roman" w:hAnsi="Times New Roman" w:cs="Times New Roman"/>
                <w:color w:val="000000"/>
              </w:rPr>
              <w:t> </w:t>
            </w:r>
          </w:p>
        </w:tc>
      </w:tr>
      <w:tr w:rsidR="00B035DC" w:rsidRPr="00612021" w:rsidTr="00B035DC">
        <w:trPr>
          <w:trHeight w:val="240"/>
        </w:trPr>
        <w:tc>
          <w:tcPr>
            <w:tcW w:w="5505"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Claims expense</w:t>
            </w:r>
          </w:p>
        </w:tc>
        <w:tc>
          <w:tcPr>
            <w:tcW w:w="2958"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29,755,490</w:t>
            </w:r>
          </w:p>
        </w:tc>
        <w:tc>
          <w:tcPr>
            <w:tcW w:w="1897" w:type="dxa"/>
            <w:tcBorders>
              <w:top w:val="nil"/>
              <w:left w:val="nil"/>
              <w:bottom w:val="nil"/>
              <w:right w:val="nil"/>
            </w:tcBorders>
            <w:shd w:val="clear" w:color="auto" w:fill="auto"/>
            <w:vAlign w:val="center"/>
            <w:hideMark/>
          </w:tcPr>
          <w:p w:rsidR="00B035DC" w:rsidRPr="00612021" w:rsidRDefault="003E6C2E"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28,750,405</w:t>
            </w:r>
          </w:p>
        </w:tc>
      </w:tr>
      <w:tr w:rsidR="00B035DC" w:rsidRPr="00612021" w:rsidTr="00B035DC">
        <w:trPr>
          <w:trHeight w:val="240"/>
        </w:trPr>
        <w:tc>
          <w:tcPr>
            <w:tcW w:w="5505"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Reinsurance expenses, net</w:t>
            </w:r>
          </w:p>
        </w:tc>
        <w:tc>
          <w:tcPr>
            <w:tcW w:w="2958"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836,935</w:t>
            </w:r>
          </w:p>
        </w:tc>
        <w:tc>
          <w:tcPr>
            <w:tcW w:w="1897" w:type="dxa"/>
            <w:tcBorders>
              <w:top w:val="nil"/>
              <w:left w:val="nil"/>
              <w:bottom w:val="nil"/>
              <w:right w:val="nil"/>
            </w:tcBorders>
            <w:shd w:val="clear" w:color="auto" w:fill="auto"/>
            <w:vAlign w:val="center"/>
            <w:hideMark/>
          </w:tcPr>
          <w:p w:rsidR="00B035DC" w:rsidRPr="00612021" w:rsidRDefault="003E6C2E"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706,517</w:t>
            </w:r>
          </w:p>
        </w:tc>
      </w:tr>
      <w:tr w:rsidR="00B035DC" w:rsidRPr="00612021" w:rsidTr="00B035DC">
        <w:trPr>
          <w:trHeight w:val="255"/>
        </w:trPr>
        <w:tc>
          <w:tcPr>
            <w:tcW w:w="5505"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Administrative fees</w:t>
            </w:r>
          </w:p>
        </w:tc>
        <w:tc>
          <w:tcPr>
            <w:tcW w:w="2958"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988,796</w:t>
            </w:r>
          </w:p>
        </w:tc>
        <w:tc>
          <w:tcPr>
            <w:tcW w:w="1897" w:type="dxa"/>
            <w:tcBorders>
              <w:top w:val="nil"/>
              <w:left w:val="nil"/>
              <w:bottom w:val="nil"/>
              <w:right w:val="nil"/>
            </w:tcBorders>
            <w:shd w:val="clear" w:color="auto" w:fill="auto"/>
            <w:vAlign w:val="center"/>
            <w:hideMark/>
          </w:tcPr>
          <w:p w:rsidR="00B035DC" w:rsidRPr="00612021" w:rsidRDefault="003E6C2E"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1,003,466</w:t>
            </w:r>
          </w:p>
        </w:tc>
      </w:tr>
      <w:tr w:rsidR="00B035DC" w:rsidRPr="00612021" w:rsidTr="00B035DC">
        <w:trPr>
          <w:trHeight w:val="225"/>
        </w:trPr>
        <w:tc>
          <w:tcPr>
            <w:tcW w:w="5505"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Aggregate write-ins for other expenses</w:t>
            </w:r>
          </w:p>
        </w:tc>
        <w:tc>
          <w:tcPr>
            <w:tcW w:w="2958" w:type="dxa"/>
            <w:tcBorders>
              <w:top w:val="nil"/>
              <w:left w:val="nil"/>
              <w:bottom w:val="single" w:sz="4" w:space="0" w:color="auto"/>
              <w:right w:val="nil"/>
            </w:tcBorders>
            <w:shd w:val="clear" w:color="auto" w:fill="auto"/>
            <w:vAlign w:val="center"/>
            <w:hideMark/>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562,919</w:t>
            </w:r>
          </w:p>
        </w:tc>
        <w:tc>
          <w:tcPr>
            <w:tcW w:w="1897" w:type="dxa"/>
            <w:tcBorders>
              <w:top w:val="nil"/>
              <w:left w:val="nil"/>
              <w:bottom w:val="single" w:sz="4" w:space="0" w:color="auto"/>
              <w:right w:val="nil"/>
            </w:tcBorders>
            <w:shd w:val="clear" w:color="auto" w:fill="auto"/>
            <w:vAlign w:val="center"/>
            <w:hideMark/>
          </w:tcPr>
          <w:p w:rsidR="00B035DC" w:rsidRPr="00612021" w:rsidRDefault="003E6C2E"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610,589</w:t>
            </w:r>
          </w:p>
        </w:tc>
      </w:tr>
      <w:tr w:rsidR="00B035DC" w:rsidRPr="00612021" w:rsidTr="00B035DC">
        <w:trPr>
          <w:trHeight w:val="480"/>
        </w:trPr>
        <w:tc>
          <w:tcPr>
            <w:tcW w:w="5505" w:type="dxa"/>
            <w:tcBorders>
              <w:top w:val="nil"/>
              <w:left w:val="nil"/>
              <w:bottom w:val="nil"/>
              <w:right w:val="nil"/>
            </w:tcBorders>
            <w:shd w:val="clear" w:color="auto" w:fill="auto"/>
            <w:vAlign w:val="bottom"/>
            <w:hideMark/>
          </w:tcPr>
          <w:p w:rsidR="00B035DC" w:rsidRPr="00612021" w:rsidRDefault="00B035DC" w:rsidP="00B035DC">
            <w:pPr>
              <w:spacing w:after="0" w:line="240" w:lineRule="auto"/>
              <w:ind w:firstLineChars="400" w:firstLine="76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Total Operating Expenses</w:t>
            </w:r>
          </w:p>
        </w:tc>
        <w:tc>
          <w:tcPr>
            <w:tcW w:w="2958" w:type="dxa"/>
            <w:tcBorders>
              <w:top w:val="nil"/>
              <w:left w:val="nil"/>
              <w:bottom w:val="single" w:sz="4" w:space="0" w:color="auto"/>
              <w:right w:val="nil"/>
            </w:tcBorders>
            <w:shd w:val="clear" w:color="auto" w:fill="auto"/>
            <w:vAlign w:val="bottom"/>
            <w:hideMark/>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32,144,140</w:t>
            </w:r>
          </w:p>
        </w:tc>
        <w:tc>
          <w:tcPr>
            <w:tcW w:w="1897" w:type="dxa"/>
            <w:tcBorders>
              <w:top w:val="nil"/>
              <w:left w:val="nil"/>
              <w:bottom w:val="single" w:sz="4" w:space="0" w:color="auto"/>
              <w:right w:val="nil"/>
            </w:tcBorders>
            <w:shd w:val="clear" w:color="auto" w:fill="auto"/>
            <w:vAlign w:val="bottom"/>
            <w:hideMark/>
          </w:tcPr>
          <w:p w:rsidR="00B035DC" w:rsidRPr="00612021" w:rsidRDefault="003E6C2E"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31,070,977</w:t>
            </w:r>
          </w:p>
        </w:tc>
      </w:tr>
      <w:tr w:rsidR="00B035DC" w:rsidRPr="00612021" w:rsidTr="00B035DC">
        <w:trPr>
          <w:trHeight w:val="849"/>
        </w:trPr>
        <w:tc>
          <w:tcPr>
            <w:tcW w:w="5505" w:type="dxa"/>
            <w:tcBorders>
              <w:top w:val="nil"/>
              <w:left w:val="nil"/>
              <w:bottom w:val="nil"/>
              <w:right w:val="nil"/>
            </w:tcBorders>
            <w:shd w:val="clear" w:color="auto" w:fill="auto"/>
            <w:hideMark/>
          </w:tcPr>
          <w:p w:rsidR="00565D4A" w:rsidRDefault="00B035DC" w:rsidP="00B035DC">
            <w:pPr>
              <w:spacing w:after="0" w:line="240" w:lineRule="auto"/>
              <w:ind w:firstLineChars="400" w:firstLine="76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Excess of Operating Revenues</w:t>
            </w:r>
            <w:r w:rsidRPr="00612021">
              <w:rPr>
                <w:rFonts w:ascii="Times New Roman" w:eastAsia="Times New Roman" w:hAnsi="Times New Roman" w:cs="Times New Roman"/>
                <w:sz w:val="19"/>
                <w:szCs w:val="19"/>
              </w:rPr>
              <w:br/>
            </w:r>
          </w:p>
          <w:p w:rsidR="00565D4A" w:rsidRDefault="00565D4A" w:rsidP="00B035DC">
            <w:pPr>
              <w:spacing w:after="0" w:line="240" w:lineRule="auto"/>
              <w:ind w:firstLineChars="400" w:firstLine="760"/>
              <w:rPr>
                <w:rFonts w:ascii="Times New Roman" w:eastAsia="Times New Roman" w:hAnsi="Times New Roman" w:cs="Times New Roman"/>
                <w:sz w:val="19"/>
                <w:szCs w:val="19"/>
              </w:rPr>
            </w:pPr>
          </w:p>
          <w:p w:rsidR="00B035DC" w:rsidRPr="00612021" w:rsidRDefault="00B035DC" w:rsidP="00B035DC">
            <w:pPr>
              <w:spacing w:after="0" w:line="240" w:lineRule="auto"/>
              <w:ind w:firstLineChars="400" w:firstLine="76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Before Non</w:t>
            </w:r>
            <w:r w:rsidR="00B61178" w:rsidRPr="00612021">
              <w:rPr>
                <w:rFonts w:ascii="Times New Roman" w:eastAsia="Times New Roman" w:hAnsi="Times New Roman" w:cs="Times New Roman"/>
                <w:sz w:val="19"/>
                <w:szCs w:val="19"/>
              </w:rPr>
              <w:t>-</w:t>
            </w:r>
            <w:r w:rsidRPr="00612021">
              <w:rPr>
                <w:rFonts w:ascii="Times New Roman" w:eastAsia="Times New Roman" w:hAnsi="Times New Roman" w:cs="Times New Roman"/>
                <w:sz w:val="19"/>
                <w:szCs w:val="19"/>
              </w:rPr>
              <w:t>operating Revenue (Expense)</w:t>
            </w:r>
          </w:p>
        </w:tc>
        <w:tc>
          <w:tcPr>
            <w:tcW w:w="2958" w:type="dxa"/>
            <w:tcBorders>
              <w:top w:val="nil"/>
              <w:left w:val="nil"/>
              <w:bottom w:val="nil"/>
              <w:right w:val="nil"/>
            </w:tcBorders>
            <w:shd w:val="clear" w:color="auto" w:fill="auto"/>
            <w:vAlign w:val="bottom"/>
            <w:hideMark/>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4,053,810</w:t>
            </w:r>
          </w:p>
        </w:tc>
        <w:tc>
          <w:tcPr>
            <w:tcW w:w="1897" w:type="dxa"/>
            <w:tcBorders>
              <w:top w:val="nil"/>
              <w:left w:val="nil"/>
              <w:bottom w:val="nil"/>
              <w:right w:val="nil"/>
            </w:tcBorders>
            <w:shd w:val="clear" w:color="auto" w:fill="auto"/>
            <w:vAlign w:val="bottom"/>
            <w:hideMark/>
          </w:tcPr>
          <w:p w:rsidR="00B035DC" w:rsidRPr="00612021" w:rsidRDefault="007653AA"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6,644,899</w:t>
            </w:r>
          </w:p>
        </w:tc>
      </w:tr>
      <w:tr w:rsidR="00B035DC" w:rsidRPr="00612021" w:rsidTr="00B035DC">
        <w:trPr>
          <w:trHeight w:val="351"/>
        </w:trPr>
        <w:tc>
          <w:tcPr>
            <w:tcW w:w="5505"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100" w:firstLine="19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Non</w:t>
            </w:r>
            <w:r w:rsidR="00E67A66" w:rsidRPr="00612021">
              <w:rPr>
                <w:rFonts w:ascii="Times New Roman" w:eastAsia="Times New Roman" w:hAnsi="Times New Roman" w:cs="Times New Roman"/>
                <w:sz w:val="19"/>
                <w:szCs w:val="19"/>
              </w:rPr>
              <w:t>-</w:t>
            </w:r>
            <w:r w:rsidRPr="00612021">
              <w:rPr>
                <w:rFonts w:ascii="Times New Roman" w:eastAsia="Times New Roman" w:hAnsi="Times New Roman" w:cs="Times New Roman"/>
                <w:sz w:val="19"/>
                <w:szCs w:val="19"/>
              </w:rPr>
              <w:t>operating Revenue (Expense):</w:t>
            </w:r>
          </w:p>
        </w:tc>
        <w:tc>
          <w:tcPr>
            <w:tcW w:w="2958" w:type="dxa"/>
            <w:tcBorders>
              <w:top w:val="nil"/>
              <w:left w:val="nil"/>
              <w:bottom w:val="nil"/>
              <w:right w:val="nil"/>
            </w:tcBorders>
            <w:shd w:val="clear" w:color="auto" w:fill="auto"/>
            <w:hideMark/>
          </w:tcPr>
          <w:p w:rsidR="00B035DC" w:rsidRPr="00612021" w:rsidRDefault="00B035DC" w:rsidP="00B035DC">
            <w:pPr>
              <w:spacing w:after="0" w:line="240" w:lineRule="auto"/>
              <w:rPr>
                <w:rFonts w:ascii="Times New Roman" w:eastAsia="Times New Roman" w:hAnsi="Times New Roman" w:cs="Times New Roman"/>
                <w:color w:val="000000"/>
              </w:rPr>
            </w:pPr>
          </w:p>
        </w:tc>
        <w:tc>
          <w:tcPr>
            <w:tcW w:w="1897" w:type="dxa"/>
            <w:tcBorders>
              <w:top w:val="nil"/>
              <w:left w:val="nil"/>
              <w:bottom w:val="nil"/>
              <w:right w:val="nil"/>
            </w:tcBorders>
            <w:shd w:val="clear" w:color="auto" w:fill="auto"/>
            <w:hideMark/>
          </w:tcPr>
          <w:p w:rsidR="00B035DC" w:rsidRPr="00612021" w:rsidRDefault="00B035DC" w:rsidP="00B035DC">
            <w:pPr>
              <w:spacing w:after="0" w:line="240" w:lineRule="auto"/>
              <w:rPr>
                <w:rFonts w:ascii="Times New Roman" w:eastAsia="Times New Roman" w:hAnsi="Times New Roman" w:cs="Times New Roman"/>
                <w:color w:val="000000"/>
              </w:rPr>
            </w:pPr>
          </w:p>
        </w:tc>
      </w:tr>
      <w:tr w:rsidR="00B035DC" w:rsidRPr="00612021" w:rsidTr="00B035DC">
        <w:trPr>
          <w:trHeight w:val="240"/>
        </w:trPr>
        <w:tc>
          <w:tcPr>
            <w:tcW w:w="5505"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Interest earnings</w:t>
            </w:r>
          </w:p>
        </w:tc>
        <w:tc>
          <w:tcPr>
            <w:tcW w:w="2958"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400" w:firstLine="76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12,641</w:t>
            </w:r>
          </w:p>
        </w:tc>
        <w:tc>
          <w:tcPr>
            <w:tcW w:w="1897" w:type="dxa"/>
            <w:tcBorders>
              <w:top w:val="nil"/>
              <w:left w:val="nil"/>
              <w:bottom w:val="nil"/>
              <w:right w:val="nil"/>
            </w:tcBorders>
            <w:shd w:val="clear" w:color="auto" w:fill="auto"/>
            <w:vAlign w:val="center"/>
            <w:hideMark/>
          </w:tcPr>
          <w:p w:rsidR="00B035DC" w:rsidRPr="00612021" w:rsidRDefault="00520D82" w:rsidP="00B035DC">
            <w:pPr>
              <w:spacing w:after="0" w:line="240" w:lineRule="auto"/>
              <w:ind w:firstLineChars="100" w:firstLine="190"/>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13,526</w:t>
            </w:r>
          </w:p>
        </w:tc>
      </w:tr>
      <w:tr w:rsidR="00B035DC" w:rsidRPr="00612021" w:rsidTr="00565D4A">
        <w:trPr>
          <w:trHeight w:val="240"/>
        </w:trPr>
        <w:tc>
          <w:tcPr>
            <w:tcW w:w="5505" w:type="dxa"/>
            <w:tcBorders>
              <w:top w:val="nil"/>
              <w:left w:val="nil"/>
              <w:bottom w:val="nil"/>
              <w:right w:val="nil"/>
            </w:tcBorders>
            <w:shd w:val="clear" w:color="auto" w:fill="auto"/>
            <w:vAlign w:val="center"/>
          </w:tcPr>
          <w:p w:rsidR="00B035DC" w:rsidRPr="00612021" w:rsidRDefault="00B035DC" w:rsidP="00B035DC">
            <w:pPr>
              <w:spacing w:after="0" w:line="240" w:lineRule="auto"/>
              <w:ind w:firstLineChars="300" w:firstLine="570"/>
              <w:rPr>
                <w:rFonts w:ascii="Times New Roman" w:eastAsia="Times New Roman" w:hAnsi="Times New Roman" w:cs="Times New Roman"/>
                <w:sz w:val="19"/>
                <w:szCs w:val="19"/>
              </w:rPr>
            </w:pPr>
          </w:p>
        </w:tc>
        <w:tc>
          <w:tcPr>
            <w:tcW w:w="2958" w:type="dxa"/>
            <w:tcBorders>
              <w:top w:val="nil"/>
              <w:left w:val="nil"/>
              <w:bottom w:val="single" w:sz="4" w:space="0" w:color="auto"/>
              <w:right w:val="nil"/>
            </w:tcBorders>
            <w:shd w:val="clear" w:color="auto" w:fill="auto"/>
            <w:vAlign w:val="center"/>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p>
        </w:tc>
        <w:tc>
          <w:tcPr>
            <w:tcW w:w="1897" w:type="dxa"/>
            <w:tcBorders>
              <w:top w:val="nil"/>
              <w:left w:val="nil"/>
              <w:bottom w:val="single" w:sz="4" w:space="0" w:color="auto"/>
              <w:right w:val="nil"/>
            </w:tcBorders>
            <w:shd w:val="clear" w:color="auto" w:fill="auto"/>
            <w:vAlign w:val="center"/>
          </w:tcPr>
          <w:p w:rsidR="00B035DC" w:rsidRPr="00612021" w:rsidRDefault="00B035DC" w:rsidP="00B035DC">
            <w:pPr>
              <w:spacing w:after="0" w:line="240" w:lineRule="auto"/>
              <w:jc w:val="right"/>
              <w:rPr>
                <w:rFonts w:ascii="Times New Roman" w:eastAsia="Times New Roman" w:hAnsi="Times New Roman" w:cs="Times New Roman"/>
                <w:sz w:val="19"/>
                <w:szCs w:val="19"/>
              </w:rPr>
            </w:pPr>
          </w:p>
        </w:tc>
      </w:tr>
      <w:tr w:rsidR="00B035DC" w:rsidRPr="00612021" w:rsidTr="00025D9F">
        <w:trPr>
          <w:trHeight w:val="480"/>
        </w:trPr>
        <w:tc>
          <w:tcPr>
            <w:tcW w:w="5505" w:type="dxa"/>
            <w:tcBorders>
              <w:top w:val="nil"/>
              <w:left w:val="nil"/>
              <w:right w:val="nil"/>
            </w:tcBorders>
            <w:shd w:val="clear" w:color="auto" w:fill="auto"/>
            <w:vAlign w:val="bottom"/>
          </w:tcPr>
          <w:p w:rsidR="00B035DC" w:rsidRPr="00612021" w:rsidRDefault="00B035DC" w:rsidP="00B035DC">
            <w:pPr>
              <w:spacing w:after="0" w:line="240" w:lineRule="auto"/>
              <w:ind w:firstLineChars="400" w:firstLine="760"/>
              <w:rPr>
                <w:rFonts w:ascii="Times New Roman" w:eastAsia="Times New Roman" w:hAnsi="Times New Roman" w:cs="Times New Roman"/>
                <w:sz w:val="19"/>
                <w:szCs w:val="19"/>
              </w:rPr>
            </w:pPr>
          </w:p>
        </w:tc>
        <w:tc>
          <w:tcPr>
            <w:tcW w:w="2958" w:type="dxa"/>
            <w:tcBorders>
              <w:top w:val="nil"/>
              <w:left w:val="nil"/>
              <w:right w:val="nil"/>
            </w:tcBorders>
            <w:shd w:val="clear" w:color="auto" w:fill="auto"/>
            <w:vAlign w:val="bottom"/>
          </w:tcPr>
          <w:p w:rsidR="00B035DC" w:rsidRPr="00612021" w:rsidRDefault="00B035DC" w:rsidP="00B035DC">
            <w:pPr>
              <w:spacing w:after="0" w:line="240" w:lineRule="auto"/>
              <w:ind w:firstLineChars="400" w:firstLine="760"/>
              <w:jc w:val="right"/>
              <w:rPr>
                <w:rFonts w:ascii="Times New Roman" w:eastAsia="Times New Roman" w:hAnsi="Times New Roman" w:cs="Times New Roman"/>
                <w:sz w:val="19"/>
                <w:szCs w:val="19"/>
              </w:rPr>
            </w:pPr>
          </w:p>
        </w:tc>
        <w:tc>
          <w:tcPr>
            <w:tcW w:w="1897" w:type="dxa"/>
            <w:tcBorders>
              <w:top w:val="nil"/>
              <w:left w:val="nil"/>
              <w:right w:val="nil"/>
            </w:tcBorders>
            <w:shd w:val="clear" w:color="auto" w:fill="auto"/>
            <w:vAlign w:val="bottom"/>
          </w:tcPr>
          <w:p w:rsidR="00B035DC" w:rsidRPr="00612021" w:rsidRDefault="00B035DC" w:rsidP="00B035DC">
            <w:pPr>
              <w:spacing w:after="0" w:line="240" w:lineRule="auto"/>
              <w:jc w:val="right"/>
              <w:rPr>
                <w:rFonts w:ascii="Times New Roman" w:eastAsia="Times New Roman" w:hAnsi="Times New Roman" w:cs="Times New Roman"/>
                <w:sz w:val="19"/>
                <w:szCs w:val="19"/>
              </w:rPr>
            </w:pPr>
          </w:p>
        </w:tc>
      </w:tr>
      <w:tr w:rsidR="00B035DC" w:rsidRPr="00612021" w:rsidTr="00025D9F">
        <w:trPr>
          <w:trHeight w:val="609"/>
        </w:trPr>
        <w:tc>
          <w:tcPr>
            <w:tcW w:w="5505" w:type="dxa"/>
            <w:tcBorders>
              <w:left w:val="nil"/>
              <w:bottom w:val="nil"/>
              <w:right w:val="nil"/>
            </w:tcBorders>
            <w:shd w:val="clear" w:color="auto" w:fill="auto"/>
            <w:vAlign w:val="center"/>
            <w:hideMark/>
          </w:tcPr>
          <w:p w:rsidR="00B035DC" w:rsidRPr="00612021" w:rsidRDefault="00B035DC" w:rsidP="00B035DC">
            <w:pPr>
              <w:spacing w:after="0" w:line="240" w:lineRule="auto"/>
              <w:ind w:firstLineChars="500" w:firstLine="95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Change in Net Position</w:t>
            </w:r>
          </w:p>
        </w:tc>
        <w:tc>
          <w:tcPr>
            <w:tcW w:w="2958" w:type="dxa"/>
            <w:tcBorders>
              <w:left w:val="nil"/>
              <w:bottom w:val="nil"/>
              <w:right w:val="nil"/>
            </w:tcBorders>
            <w:shd w:val="clear" w:color="auto" w:fill="auto"/>
            <w:vAlign w:val="center"/>
            <w:hideMark/>
          </w:tcPr>
          <w:p w:rsidR="00B035DC" w:rsidRPr="00612021" w:rsidRDefault="00B035DC" w:rsidP="00B035DC">
            <w:pPr>
              <w:spacing w:after="0" w:line="240" w:lineRule="auto"/>
              <w:ind w:firstLineChars="400" w:firstLine="76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4,066,451</w:t>
            </w:r>
          </w:p>
        </w:tc>
        <w:tc>
          <w:tcPr>
            <w:tcW w:w="1897" w:type="dxa"/>
            <w:tcBorders>
              <w:left w:val="nil"/>
              <w:bottom w:val="nil"/>
              <w:right w:val="nil"/>
            </w:tcBorders>
            <w:shd w:val="clear" w:color="auto" w:fill="auto"/>
            <w:vAlign w:val="center"/>
            <w:hideMark/>
          </w:tcPr>
          <w:p w:rsidR="00B035DC" w:rsidRPr="00612021" w:rsidRDefault="00520D82"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6,658,425</w:t>
            </w:r>
          </w:p>
        </w:tc>
      </w:tr>
      <w:tr w:rsidR="00B035DC" w:rsidRPr="00612021" w:rsidTr="00B035DC">
        <w:trPr>
          <w:trHeight w:val="480"/>
        </w:trPr>
        <w:tc>
          <w:tcPr>
            <w:tcW w:w="5505"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100" w:firstLine="19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Net Position, January 1,</w:t>
            </w:r>
          </w:p>
        </w:tc>
        <w:tc>
          <w:tcPr>
            <w:tcW w:w="2958"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7,048,883</w:t>
            </w:r>
          </w:p>
        </w:tc>
        <w:tc>
          <w:tcPr>
            <w:tcW w:w="1897" w:type="dxa"/>
            <w:tcBorders>
              <w:top w:val="nil"/>
              <w:left w:val="nil"/>
              <w:bottom w:val="nil"/>
              <w:right w:val="nil"/>
            </w:tcBorders>
            <w:shd w:val="clear" w:color="auto" w:fill="auto"/>
            <w:vAlign w:val="center"/>
            <w:hideMark/>
          </w:tcPr>
          <w:p w:rsidR="00B035DC" w:rsidRPr="00612021" w:rsidRDefault="00520D82"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10,900,699</w:t>
            </w:r>
          </w:p>
        </w:tc>
      </w:tr>
      <w:tr w:rsidR="00B035DC" w:rsidRPr="00612021" w:rsidTr="007653AA">
        <w:trPr>
          <w:trHeight w:val="480"/>
        </w:trPr>
        <w:tc>
          <w:tcPr>
            <w:tcW w:w="5505" w:type="dxa"/>
            <w:tcBorders>
              <w:top w:val="nil"/>
              <w:left w:val="nil"/>
              <w:bottom w:val="nil"/>
              <w:right w:val="nil"/>
            </w:tcBorders>
            <w:shd w:val="clear" w:color="auto" w:fill="auto"/>
            <w:vAlign w:val="center"/>
          </w:tcPr>
          <w:p w:rsidR="00B035DC" w:rsidRPr="00612021" w:rsidRDefault="00B035DC" w:rsidP="007653AA">
            <w:pPr>
              <w:spacing w:after="0" w:line="240" w:lineRule="auto"/>
              <w:rPr>
                <w:rFonts w:ascii="Times New Roman" w:eastAsia="Times New Roman" w:hAnsi="Times New Roman" w:cs="Times New Roman"/>
                <w:sz w:val="19"/>
                <w:szCs w:val="19"/>
              </w:rPr>
            </w:pPr>
          </w:p>
        </w:tc>
        <w:tc>
          <w:tcPr>
            <w:tcW w:w="2958" w:type="dxa"/>
            <w:tcBorders>
              <w:top w:val="nil"/>
              <w:left w:val="nil"/>
              <w:bottom w:val="nil"/>
              <w:right w:val="nil"/>
            </w:tcBorders>
            <w:shd w:val="clear" w:color="auto" w:fill="auto"/>
            <w:vAlign w:val="center"/>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p>
        </w:tc>
        <w:tc>
          <w:tcPr>
            <w:tcW w:w="1897" w:type="dxa"/>
            <w:tcBorders>
              <w:top w:val="nil"/>
              <w:left w:val="nil"/>
              <w:bottom w:val="nil"/>
              <w:right w:val="nil"/>
            </w:tcBorders>
            <w:shd w:val="clear" w:color="auto" w:fill="auto"/>
            <w:vAlign w:val="center"/>
          </w:tcPr>
          <w:p w:rsidR="00B035DC" w:rsidRPr="00612021" w:rsidRDefault="00B035DC" w:rsidP="00B035DC">
            <w:pPr>
              <w:spacing w:after="0" w:line="240" w:lineRule="auto"/>
              <w:jc w:val="right"/>
              <w:rPr>
                <w:rFonts w:ascii="Times New Roman" w:eastAsia="Times New Roman" w:hAnsi="Times New Roman" w:cs="Times New Roman"/>
                <w:sz w:val="19"/>
                <w:szCs w:val="19"/>
              </w:rPr>
            </w:pPr>
          </w:p>
        </w:tc>
      </w:tr>
      <w:tr w:rsidR="00B035DC" w:rsidRPr="00612021" w:rsidTr="00B035DC">
        <w:trPr>
          <w:trHeight w:val="351"/>
        </w:trPr>
        <w:tc>
          <w:tcPr>
            <w:tcW w:w="5505" w:type="dxa"/>
            <w:tcBorders>
              <w:top w:val="nil"/>
              <w:left w:val="nil"/>
              <w:bottom w:val="nil"/>
              <w:right w:val="nil"/>
            </w:tcBorders>
            <w:shd w:val="clear" w:color="auto" w:fill="auto"/>
            <w:vAlign w:val="center"/>
            <w:hideMark/>
          </w:tcPr>
          <w:p w:rsidR="00B035DC" w:rsidRPr="00612021" w:rsidRDefault="00B035DC" w:rsidP="00B035DC">
            <w:pPr>
              <w:spacing w:after="0" w:line="240" w:lineRule="auto"/>
              <w:ind w:firstLineChars="100" w:firstLine="19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Adjustment for incurred but not reported claims</w:t>
            </w:r>
          </w:p>
        </w:tc>
        <w:tc>
          <w:tcPr>
            <w:tcW w:w="2958" w:type="dxa"/>
            <w:tcBorders>
              <w:top w:val="nil"/>
              <w:left w:val="nil"/>
              <w:bottom w:val="single" w:sz="4" w:space="0" w:color="auto"/>
              <w:right w:val="nil"/>
            </w:tcBorders>
            <w:shd w:val="clear" w:color="auto" w:fill="auto"/>
            <w:vAlign w:val="center"/>
            <w:hideMark/>
          </w:tcPr>
          <w:p w:rsidR="00B035DC" w:rsidRPr="00612021" w:rsidRDefault="00565D4A" w:rsidP="00B035DC">
            <w:pPr>
              <w:spacing w:after="0" w:line="240" w:lineRule="auto"/>
              <w:ind w:firstLineChars="300" w:firstLine="570"/>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(214,635</w:t>
            </w:r>
            <w:r w:rsidR="00B035DC" w:rsidRPr="00612021">
              <w:rPr>
                <w:rFonts w:ascii="Times New Roman" w:eastAsia="Times New Roman" w:hAnsi="Times New Roman" w:cs="Times New Roman"/>
                <w:sz w:val="19"/>
                <w:szCs w:val="19"/>
              </w:rPr>
              <w:t>)</w:t>
            </w:r>
          </w:p>
        </w:tc>
        <w:tc>
          <w:tcPr>
            <w:tcW w:w="1897" w:type="dxa"/>
            <w:tcBorders>
              <w:top w:val="nil"/>
              <w:left w:val="nil"/>
              <w:bottom w:val="single" w:sz="4" w:space="0" w:color="auto"/>
              <w:right w:val="nil"/>
            </w:tcBorders>
            <w:shd w:val="clear" w:color="auto" w:fill="auto"/>
            <w:vAlign w:val="center"/>
            <w:hideMark/>
          </w:tcPr>
          <w:p w:rsidR="00B035DC" w:rsidRPr="00612021" w:rsidRDefault="00565D4A"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268,841</w:t>
            </w:r>
          </w:p>
        </w:tc>
      </w:tr>
      <w:tr w:rsidR="00B035DC" w:rsidRPr="00612021" w:rsidTr="00B035DC">
        <w:trPr>
          <w:trHeight w:val="480"/>
        </w:trPr>
        <w:tc>
          <w:tcPr>
            <w:tcW w:w="5505" w:type="dxa"/>
            <w:tcBorders>
              <w:top w:val="nil"/>
              <w:left w:val="nil"/>
              <w:bottom w:val="nil"/>
              <w:right w:val="nil"/>
            </w:tcBorders>
            <w:shd w:val="clear" w:color="auto" w:fill="auto"/>
            <w:vAlign w:val="bottom"/>
            <w:hideMark/>
          </w:tcPr>
          <w:p w:rsidR="00B035DC" w:rsidRPr="00612021" w:rsidRDefault="00B035DC" w:rsidP="00B035DC">
            <w:pPr>
              <w:spacing w:after="0" w:line="240" w:lineRule="auto"/>
              <w:ind w:firstLineChars="100" w:firstLine="190"/>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Net Position, December 31,</w:t>
            </w:r>
          </w:p>
        </w:tc>
        <w:tc>
          <w:tcPr>
            <w:tcW w:w="2958" w:type="dxa"/>
            <w:tcBorders>
              <w:top w:val="nil"/>
              <w:left w:val="nil"/>
              <w:bottom w:val="double" w:sz="6" w:space="0" w:color="auto"/>
              <w:right w:val="nil"/>
            </w:tcBorders>
            <w:shd w:val="clear" w:color="auto" w:fill="auto"/>
            <w:vAlign w:val="bottom"/>
            <w:hideMark/>
          </w:tcPr>
          <w:p w:rsidR="00B035DC" w:rsidRPr="00612021" w:rsidRDefault="00B035DC" w:rsidP="00B035DC">
            <w:pPr>
              <w:spacing w:after="0" w:line="240" w:lineRule="auto"/>
              <w:ind w:firstLineChars="300" w:firstLine="570"/>
              <w:jc w:val="right"/>
              <w:rPr>
                <w:rFonts w:ascii="Times New Roman" w:eastAsia="Times New Roman" w:hAnsi="Times New Roman" w:cs="Times New Roman"/>
                <w:sz w:val="19"/>
                <w:szCs w:val="19"/>
              </w:rPr>
            </w:pPr>
            <w:r w:rsidRPr="00612021">
              <w:rPr>
                <w:rFonts w:ascii="Times New Roman" w:eastAsia="Times New Roman" w:hAnsi="Times New Roman" w:cs="Times New Roman"/>
                <w:sz w:val="19"/>
                <w:szCs w:val="19"/>
              </w:rPr>
              <w:t>$10,900,699</w:t>
            </w:r>
          </w:p>
        </w:tc>
        <w:tc>
          <w:tcPr>
            <w:tcW w:w="1897" w:type="dxa"/>
            <w:tcBorders>
              <w:top w:val="nil"/>
              <w:left w:val="nil"/>
              <w:bottom w:val="double" w:sz="6" w:space="0" w:color="auto"/>
              <w:right w:val="nil"/>
            </w:tcBorders>
            <w:shd w:val="clear" w:color="auto" w:fill="auto"/>
            <w:vAlign w:val="bottom"/>
            <w:hideMark/>
          </w:tcPr>
          <w:p w:rsidR="00B035DC" w:rsidRPr="00612021" w:rsidRDefault="00520D82" w:rsidP="00B035DC">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$17,827,965</w:t>
            </w:r>
          </w:p>
        </w:tc>
      </w:tr>
      <w:tr w:rsidR="00B035DC" w:rsidRPr="00612021" w:rsidTr="00B035DC">
        <w:trPr>
          <w:trHeight w:val="288"/>
        </w:trPr>
        <w:tc>
          <w:tcPr>
            <w:tcW w:w="5505" w:type="dxa"/>
            <w:tcBorders>
              <w:top w:val="nil"/>
              <w:left w:val="nil"/>
              <w:bottom w:val="nil"/>
              <w:right w:val="nil"/>
            </w:tcBorders>
            <w:shd w:val="clear" w:color="auto" w:fill="auto"/>
            <w:noWrap/>
            <w:vAlign w:val="bottom"/>
            <w:hideMark/>
          </w:tcPr>
          <w:p w:rsidR="00B035DC" w:rsidRPr="00612021" w:rsidRDefault="00B035DC" w:rsidP="00B035DC">
            <w:pPr>
              <w:spacing w:after="0" w:line="240" w:lineRule="auto"/>
              <w:rPr>
                <w:rFonts w:ascii="Times New Roman" w:eastAsia="Times New Roman" w:hAnsi="Times New Roman" w:cs="Times New Roman"/>
                <w:color w:val="000000"/>
              </w:rPr>
            </w:pPr>
          </w:p>
        </w:tc>
        <w:tc>
          <w:tcPr>
            <w:tcW w:w="2958" w:type="dxa"/>
            <w:tcBorders>
              <w:top w:val="nil"/>
              <w:left w:val="nil"/>
              <w:bottom w:val="nil"/>
              <w:right w:val="nil"/>
            </w:tcBorders>
            <w:shd w:val="clear" w:color="auto" w:fill="auto"/>
            <w:noWrap/>
            <w:vAlign w:val="bottom"/>
            <w:hideMark/>
          </w:tcPr>
          <w:p w:rsidR="00B035DC" w:rsidRPr="00612021" w:rsidRDefault="00B035DC" w:rsidP="00B035DC">
            <w:pPr>
              <w:spacing w:after="0" w:line="240" w:lineRule="auto"/>
              <w:rPr>
                <w:rFonts w:ascii="Times New Roman" w:eastAsia="Times New Roman" w:hAnsi="Times New Roman" w:cs="Times New Roman"/>
                <w:color w:val="000000"/>
              </w:rPr>
            </w:pPr>
          </w:p>
        </w:tc>
        <w:tc>
          <w:tcPr>
            <w:tcW w:w="1897" w:type="dxa"/>
            <w:tcBorders>
              <w:top w:val="nil"/>
              <w:left w:val="nil"/>
              <w:bottom w:val="nil"/>
              <w:right w:val="nil"/>
            </w:tcBorders>
            <w:shd w:val="clear" w:color="auto" w:fill="auto"/>
            <w:noWrap/>
            <w:vAlign w:val="bottom"/>
            <w:hideMark/>
          </w:tcPr>
          <w:p w:rsidR="00B035DC" w:rsidRPr="00612021" w:rsidRDefault="00B035DC" w:rsidP="00B035DC">
            <w:pPr>
              <w:spacing w:after="0" w:line="240" w:lineRule="auto"/>
              <w:rPr>
                <w:rFonts w:ascii="Times New Roman" w:eastAsia="Times New Roman" w:hAnsi="Times New Roman" w:cs="Times New Roman"/>
                <w:color w:val="000000"/>
              </w:rPr>
            </w:pPr>
          </w:p>
        </w:tc>
      </w:tr>
      <w:tr w:rsidR="00B035DC" w:rsidRPr="00C4219F" w:rsidTr="00B035DC">
        <w:trPr>
          <w:trHeight w:val="288"/>
        </w:trPr>
        <w:tc>
          <w:tcPr>
            <w:tcW w:w="5505" w:type="dxa"/>
            <w:tcBorders>
              <w:top w:val="nil"/>
              <w:left w:val="nil"/>
              <w:bottom w:val="nil"/>
              <w:right w:val="nil"/>
            </w:tcBorders>
            <w:shd w:val="clear" w:color="auto" w:fill="auto"/>
            <w:noWrap/>
            <w:vAlign w:val="bottom"/>
            <w:hideMark/>
          </w:tcPr>
          <w:p w:rsidR="00B035DC" w:rsidRPr="00C4219F" w:rsidRDefault="00B035DC" w:rsidP="00B035DC">
            <w:pPr>
              <w:spacing w:after="0" w:line="240" w:lineRule="auto"/>
              <w:rPr>
                <w:rFonts w:ascii="Calibri" w:eastAsia="Times New Roman" w:hAnsi="Calibri" w:cs="Times New Roman"/>
                <w:color w:val="000000"/>
              </w:rPr>
            </w:pPr>
          </w:p>
        </w:tc>
        <w:tc>
          <w:tcPr>
            <w:tcW w:w="2958" w:type="dxa"/>
            <w:tcBorders>
              <w:top w:val="nil"/>
              <w:left w:val="nil"/>
              <w:bottom w:val="nil"/>
              <w:right w:val="nil"/>
            </w:tcBorders>
            <w:shd w:val="clear" w:color="auto" w:fill="auto"/>
            <w:noWrap/>
            <w:vAlign w:val="bottom"/>
            <w:hideMark/>
          </w:tcPr>
          <w:p w:rsidR="00B035DC" w:rsidRPr="00C4219F" w:rsidRDefault="00B035DC" w:rsidP="00B035DC">
            <w:pPr>
              <w:spacing w:after="0" w:line="240" w:lineRule="auto"/>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B035DC" w:rsidRPr="00C4219F" w:rsidRDefault="00B035DC" w:rsidP="00B035DC">
            <w:pPr>
              <w:spacing w:after="0" w:line="240" w:lineRule="auto"/>
              <w:rPr>
                <w:rFonts w:ascii="Calibri" w:eastAsia="Times New Roman" w:hAnsi="Calibri" w:cs="Times New Roman"/>
                <w:color w:val="000000"/>
              </w:rPr>
            </w:pPr>
          </w:p>
        </w:tc>
      </w:tr>
    </w:tbl>
    <w:p w:rsidR="00183160" w:rsidRPr="001245AA" w:rsidRDefault="00C5559B" w:rsidP="00520079">
      <w:pPr>
        <w:pStyle w:val="Heading1"/>
        <w:rPr>
          <w:sz w:val="32"/>
          <w:szCs w:val="32"/>
        </w:rPr>
      </w:pPr>
      <w:r w:rsidRPr="00565D4A">
        <w:rPr>
          <w:sz w:val="32"/>
          <w:szCs w:val="32"/>
        </w:rPr>
        <w:t>Accomplished Goals for 2015</w:t>
      </w:r>
      <w:r w:rsidR="00612021" w:rsidRPr="00565D4A">
        <w:rPr>
          <w:sz w:val="32"/>
          <w:szCs w:val="32"/>
        </w:rPr>
        <w:t>:</w:t>
      </w:r>
      <w:r w:rsidR="00636F0E">
        <w:rPr>
          <w:sz w:val="32"/>
          <w:szCs w:val="32"/>
        </w:rPr>
        <w:t xml:space="preserve">  </w:t>
      </w:r>
    </w:p>
    <w:p w:rsidR="00612021" w:rsidRDefault="00C5559B" w:rsidP="00B96052">
      <w:pPr>
        <w:pStyle w:val="NoSpacing"/>
        <w:numPr>
          <w:ilvl w:val="0"/>
          <w:numId w:val="5"/>
        </w:numPr>
        <w:tabs>
          <w:tab w:val="left" w:pos="3330"/>
        </w:tabs>
        <w:rPr>
          <w:rFonts w:ascii="Times New Roman" w:hAnsi="Times New Roman" w:cs="Times New Roman"/>
        </w:rPr>
      </w:pPr>
      <w:r>
        <w:rPr>
          <w:rFonts w:ascii="Times New Roman" w:hAnsi="Times New Roman" w:cs="Times New Roman"/>
        </w:rPr>
        <w:t>Creation of Gold, Silver, and Bronze look alike</w:t>
      </w:r>
      <w:r w:rsidR="00612021">
        <w:rPr>
          <w:rFonts w:ascii="Times New Roman" w:hAnsi="Times New Roman" w:cs="Times New Roman"/>
        </w:rPr>
        <w:t xml:space="preserve"> plans from Affordable Care</w:t>
      </w:r>
      <w:r w:rsidR="00782571">
        <w:rPr>
          <w:rFonts w:ascii="Times New Roman" w:hAnsi="Times New Roman" w:cs="Times New Roman"/>
        </w:rPr>
        <w:t>.</w:t>
      </w:r>
    </w:p>
    <w:p w:rsidR="00183160" w:rsidRDefault="00612021" w:rsidP="00B96052">
      <w:pPr>
        <w:pStyle w:val="NoSpacing"/>
        <w:numPr>
          <w:ilvl w:val="0"/>
          <w:numId w:val="5"/>
        </w:numPr>
        <w:tabs>
          <w:tab w:val="left" w:pos="3330"/>
        </w:tabs>
        <w:rPr>
          <w:rFonts w:ascii="Times New Roman" w:hAnsi="Times New Roman" w:cs="Times New Roman"/>
        </w:rPr>
      </w:pPr>
      <w:r>
        <w:rPr>
          <w:rFonts w:ascii="Times New Roman" w:hAnsi="Times New Roman" w:cs="Times New Roman"/>
        </w:rPr>
        <w:t xml:space="preserve">Complete required review </w:t>
      </w:r>
      <w:r w:rsidR="00C5559B">
        <w:rPr>
          <w:rFonts w:ascii="Times New Roman" w:hAnsi="Times New Roman" w:cs="Times New Roman"/>
        </w:rPr>
        <w:t xml:space="preserve">and amendment </w:t>
      </w:r>
      <w:r>
        <w:rPr>
          <w:rFonts w:ascii="Times New Roman" w:hAnsi="Times New Roman" w:cs="Times New Roman"/>
        </w:rPr>
        <w:t>of Municipal Cooperative Agreement</w:t>
      </w:r>
      <w:r w:rsidR="00782571">
        <w:rPr>
          <w:rFonts w:ascii="Times New Roman" w:hAnsi="Times New Roman" w:cs="Times New Roman"/>
        </w:rPr>
        <w:t>.</w:t>
      </w:r>
    </w:p>
    <w:p w:rsidR="00183160" w:rsidRPr="00C5559B" w:rsidRDefault="00612021" w:rsidP="00C5559B">
      <w:pPr>
        <w:pStyle w:val="NoSpacing"/>
        <w:numPr>
          <w:ilvl w:val="0"/>
          <w:numId w:val="5"/>
        </w:numPr>
        <w:tabs>
          <w:tab w:val="left" w:pos="3330"/>
        </w:tabs>
        <w:rPr>
          <w:rFonts w:ascii="Times New Roman" w:hAnsi="Times New Roman" w:cs="Times New Roman"/>
        </w:rPr>
      </w:pPr>
      <w:r>
        <w:rPr>
          <w:rFonts w:ascii="Times New Roman" w:hAnsi="Times New Roman" w:cs="Times New Roman"/>
        </w:rPr>
        <w:t>Co</w:t>
      </w:r>
      <w:r w:rsidR="00C5559B">
        <w:rPr>
          <w:rFonts w:ascii="Times New Roman" w:hAnsi="Times New Roman" w:cs="Times New Roman"/>
        </w:rPr>
        <w:t>ntinued review of</w:t>
      </w:r>
      <w:r>
        <w:rPr>
          <w:rFonts w:ascii="Times New Roman" w:hAnsi="Times New Roman" w:cs="Times New Roman"/>
        </w:rPr>
        <w:t xml:space="preserve"> reserve </w:t>
      </w:r>
      <w:r w:rsidR="00C5559B">
        <w:rPr>
          <w:rFonts w:ascii="Times New Roman" w:hAnsi="Times New Roman" w:cs="Times New Roman"/>
        </w:rPr>
        <w:t xml:space="preserve">structure </w:t>
      </w:r>
      <w:r>
        <w:rPr>
          <w:rFonts w:ascii="Times New Roman" w:hAnsi="Times New Roman" w:cs="Times New Roman"/>
        </w:rPr>
        <w:t>and</w:t>
      </w:r>
      <w:r w:rsidR="00C5559B">
        <w:rPr>
          <w:rFonts w:ascii="Times New Roman" w:hAnsi="Times New Roman" w:cs="Times New Roman"/>
        </w:rPr>
        <w:t xml:space="preserve"> development of fund balance target</w:t>
      </w:r>
      <w:r>
        <w:rPr>
          <w:rFonts w:ascii="Times New Roman" w:hAnsi="Times New Roman" w:cs="Times New Roman"/>
        </w:rPr>
        <w:t>.</w:t>
      </w:r>
    </w:p>
    <w:p w:rsidR="00B96052" w:rsidRDefault="00C5559B" w:rsidP="00B96052">
      <w:pPr>
        <w:pStyle w:val="NoSpacing"/>
        <w:numPr>
          <w:ilvl w:val="0"/>
          <w:numId w:val="5"/>
        </w:numPr>
        <w:tabs>
          <w:tab w:val="left" w:pos="3330"/>
        </w:tabs>
        <w:rPr>
          <w:rFonts w:ascii="Times New Roman" w:hAnsi="Times New Roman" w:cs="Times New Roman"/>
        </w:rPr>
      </w:pPr>
      <w:r>
        <w:rPr>
          <w:rFonts w:ascii="Times New Roman" w:hAnsi="Times New Roman" w:cs="Times New Roman"/>
        </w:rPr>
        <w:t>Creative Wellness component to Platinum, Gold, Silver, and Bronze Plans</w:t>
      </w:r>
      <w:r w:rsidR="00B96052">
        <w:rPr>
          <w:rFonts w:ascii="Times New Roman" w:hAnsi="Times New Roman" w:cs="Times New Roman"/>
        </w:rPr>
        <w:t>.</w:t>
      </w:r>
    </w:p>
    <w:p w:rsidR="003E0B87" w:rsidRDefault="003E0B87" w:rsidP="00C5559B">
      <w:pPr>
        <w:pStyle w:val="NoSpacing"/>
        <w:numPr>
          <w:ilvl w:val="0"/>
          <w:numId w:val="5"/>
        </w:numPr>
        <w:tabs>
          <w:tab w:val="left" w:pos="3330"/>
        </w:tabs>
        <w:rPr>
          <w:rFonts w:ascii="Times New Roman" w:hAnsi="Times New Roman" w:cs="Times New Roman"/>
        </w:rPr>
      </w:pPr>
      <w:r>
        <w:rPr>
          <w:rFonts w:ascii="Times New Roman" w:hAnsi="Times New Roman" w:cs="Times New Roman"/>
        </w:rPr>
        <w:t>Create</w:t>
      </w:r>
      <w:r w:rsidR="00C5559B">
        <w:rPr>
          <w:rFonts w:ascii="Times New Roman" w:hAnsi="Times New Roman" w:cs="Times New Roman"/>
        </w:rPr>
        <w:t>d</w:t>
      </w:r>
      <w:r>
        <w:rPr>
          <w:rFonts w:ascii="Times New Roman" w:hAnsi="Times New Roman" w:cs="Times New Roman"/>
        </w:rPr>
        <w:t xml:space="preserve"> and distribute to</w:t>
      </w:r>
      <w:r w:rsidR="00C5559B">
        <w:rPr>
          <w:rFonts w:ascii="Times New Roman" w:hAnsi="Times New Roman" w:cs="Times New Roman"/>
        </w:rPr>
        <w:t xml:space="preserve"> partner municipalities the 2015</w:t>
      </w:r>
      <w:r>
        <w:rPr>
          <w:rFonts w:ascii="Times New Roman" w:hAnsi="Times New Roman" w:cs="Times New Roman"/>
        </w:rPr>
        <w:t xml:space="preserve"> Orientation manual</w:t>
      </w:r>
    </w:p>
    <w:p w:rsidR="000104DF" w:rsidRDefault="000104DF" w:rsidP="00B96052">
      <w:pPr>
        <w:pStyle w:val="NoSpacing"/>
        <w:numPr>
          <w:ilvl w:val="0"/>
          <w:numId w:val="5"/>
        </w:numPr>
        <w:tabs>
          <w:tab w:val="left" w:pos="3330"/>
        </w:tabs>
        <w:rPr>
          <w:rFonts w:ascii="Times New Roman" w:hAnsi="Times New Roman" w:cs="Times New Roman"/>
        </w:rPr>
      </w:pPr>
      <w:r>
        <w:rPr>
          <w:rFonts w:ascii="Times New Roman" w:hAnsi="Times New Roman" w:cs="Times New Roman"/>
        </w:rPr>
        <w:t>Create</w:t>
      </w:r>
      <w:r w:rsidR="00C5559B">
        <w:rPr>
          <w:rFonts w:ascii="Times New Roman" w:hAnsi="Times New Roman" w:cs="Times New Roman"/>
        </w:rPr>
        <w:t>d</w:t>
      </w:r>
      <w:r>
        <w:rPr>
          <w:rFonts w:ascii="Times New Roman" w:hAnsi="Times New Roman" w:cs="Times New Roman"/>
        </w:rPr>
        <w:t xml:space="preserve"> first Annual Report</w:t>
      </w:r>
    </w:p>
    <w:p w:rsidR="000104DF" w:rsidRDefault="000104DF" w:rsidP="00B96052">
      <w:pPr>
        <w:pStyle w:val="NoSpacing"/>
        <w:numPr>
          <w:ilvl w:val="0"/>
          <w:numId w:val="5"/>
        </w:numPr>
        <w:tabs>
          <w:tab w:val="left" w:pos="3330"/>
        </w:tabs>
        <w:rPr>
          <w:rFonts w:ascii="Times New Roman" w:hAnsi="Times New Roman" w:cs="Times New Roman"/>
        </w:rPr>
      </w:pPr>
      <w:r>
        <w:rPr>
          <w:rFonts w:ascii="Times New Roman" w:hAnsi="Times New Roman" w:cs="Times New Roman"/>
        </w:rPr>
        <w:t>Produced and delivered 2</w:t>
      </w:r>
      <w:r w:rsidRPr="000104DF">
        <w:rPr>
          <w:rFonts w:ascii="Times New Roman" w:hAnsi="Times New Roman" w:cs="Times New Roman"/>
          <w:vertAlign w:val="superscript"/>
        </w:rPr>
        <w:t>nd</w:t>
      </w:r>
      <w:r>
        <w:rPr>
          <w:rFonts w:ascii="Times New Roman" w:hAnsi="Times New Roman" w:cs="Times New Roman"/>
        </w:rPr>
        <w:t xml:space="preserve"> annual training entitled “Building a Benefit Plan”</w:t>
      </w:r>
    </w:p>
    <w:p w:rsidR="000104DF" w:rsidRPr="00B96052" w:rsidRDefault="000104DF" w:rsidP="00B96052">
      <w:pPr>
        <w:pStyle w:val="NoSpacing"/>
        <w:numPr>
          <w:ilvl w:val="0"/>
          <w:numId w:val="5"/>
        </w:numPr>
        <w:tabs>
          <w:tab w:val="left" w:pos="3330"/>
        </w:tabs>
        <w:rPr>
          <w:rFonts w:ascii="Times New Roman" w:hAnsi="Times New Roman" w:cs="Times New Roman"/>
        </w:rPr>
      </w:pPr>
      <w:r>
        <w:rPr>
          <w:rFonts w:ascii="Times New Roman" w:hAnsi="Times New Roman" w:cs="Times New Roman"/>
        </w:rPr>
        <w:t>Developed Mission and Vision Statement</w:t>
      </w:r>
    </w:p>
    <w:p w:rsidR="00183160" w:rsidRDefault="00183160" w:rsidP="00183160">
      <w:pPr>
        <w:pStyle w:val="NoSpacing"/>
        <w:tabs>
          <w:tab w:val="left" w:pos="3330"/>
        </w:tabs>
      </w:pPr>
    </w:p>
    <w:p w:rsidR="00183160" w:rsidRPr="00025D9F" w:rsidRDefault="00C5559B" w:rsidP="00025D9F">
      <w:pPr>
        <w:pStyle w:val="Heading1"/>
        <w:spacing w:line="240" w:lineRule="auto"/>
        <w:rPr>
          <w:sz w:val="32"/>
          <w:szCs w:val="32"/>
        </w:rPr>
      </w:pPr>
      <w:r w:rsidRPr="00025D9F">
        <w:rPr>
          <w:sz w:val="32"/>
          <w:szCs w:val="32"/>
        </w:rPr>
        <w:t xml:space="preserve">Goals for 2016:  </w:t>
      </w:r>
    </w:p>
    <w:p w:rsidR="00C066F9" w:rsidRPr="00C5559B" w:rsidRDefault="00C5559B" w:rsidP="00C5559B">
      <w:pPr>
        <w:pStyle w:val="NoSpacing"/>
        <w:numPr>
          <w:ilvl w:val="0"/>
          <w:numId w:val="6"/>
        </w:numPr>
        <w:tabs>
          <w:tab w:val="left" w:pos="3330"/>
        </w:tabs>
      </w:pPr>
      <w:r>
        <w:rPr>
          <w:rFonts w:ascii="Times New Roman" w:hAnsi="Times New Roman" w:cs="Times New Roman"/>
        </w:rPr>
        <w:t>Produce quarterly newsletters</w:t>
      </w:r>
    </w:p>
    <w:p w:rsidR="00C5559B" w:rsidRPr="00C5559B" w:rsidRDefault="00C5559B" w:rsidP="00C5559B">
      <w:pPr>
        <w:pStyle w:val="NoSpacing"/>
        <w:numPr>
          <w:ilvl w:val="0"/>
          <w:numId w:val="6"/>
        </w:numPr>
        <w:tabs>
          <w:tab w:val="left" w:pos="3330"/>
        </w:tabs>
      </w:pPr>
      <w:r>
        <w:rPr>
          <w:rFonts w:ascii="Times New Roman" w:hAnsi="Times New Roman" w:cs="Times New Roman"/>
        </w:rPr>
        <w:t>Complete Dependent Verification Process</w:t>
      </w:r>
    </w:p>
    <w:p w:rsidR="00C5559B" w:rsidRPr="00C5559B" w:rsidRDefault="00C5559B" w:rsidP="00C5559B">
      <w:pPr>
        <w:pStyle w:val="NoSpacing"/>
        <w:numPr>
          <w:ilvl w:val="0"/>
          <w:numId w:val="6"/>
        </w:numPr>
        <w:tabs>
          <w:tab w:val="left" w:pos="3330"/>
        </w:tabs>
      </w:pPr>
      <w:r>
        <w:rPr>
          <w:rFonts w:ascii="Times New Roman" w:hAnsi="Times New Roman" w:cs="Times New Roman"/>
        </w:rPr>
        <w:t>Produce and delivered 3</w:t>
      </w:r>
      <w:r w:rsidRPr="00C5559B">
        <w:rPr>
          <w:rFonts w:ascii="Times New Roman" w:hAnsi="Times New Roman" w:cs="Times New Roman"/>
          <w:vertAlign w:val="superscript"/>
        </w:rPr>
        <w:t>rd</w:t>
      </w:r>
      <w:r>
        <w:rPr>
          <w:rFonts w:ascii="Times New Roman" w:hAnsi="Times New Roman" w:cs="Times New Roman"/>
        </w:rPr>
        <w:t xml:space="preserve">  annual training entitled “Establishing Premium Rates”</w:t>
      </w:r>
    </w:p>
    <w:p w:rsidR="00782571" w:rsidRPr="00C4219F" w:rsidRDefault="00C5559B" w:rsidP="00183160">
      <w:pPr>
        <w:pStyle w:val="NoSpacing"/>
        <w:numPr>
          <w:ilvl w:val="0"/>
          <w:numId w:val="6"/>
        </w:numPr>
        <w:tabs>
          <w:tab w:val="left" w:pos="3330"/>
        </w:tabs>
      </w:pPr>
      <w:r>
        <w:rPr>
          <w:rFonts w:ascii="Times New Roman" w:hAnsi="Times New Roman" w:cs="Times New Roman"/>
        </w:rPr>
        <w:t>Develop benefit changes necessary for “Metal level plans” to maintain Actuarial Value</w:t>
      </w:r>
    </w:p>
    <w:p w:rsidR="00183160" w:rsidRPr="00C4219F" w:rsidRDefault="00183160" w:rsidP="00183160">
      <w:pPr>
        <w:pStyle w:val="Title"/>
      </w:pPr>
      <w:r w:rsidRPr="00C4219F">
        <w:lastRenderedPageBreak/>
        <w:t>201</w:t>
      </w:r>
      <w:r w:rsidR="003168E2">
        <w:t>6</w:t>
      </w:r>
      <w:r w:rsidRPr="00C4219F">
        <w:t xml:space="preserve"> Board of Directors</w:t>
      </w:r>
    </w:p>
    <w:p w:rsidR="00183160" w:rsidRPr="003E0B87" w:rsidRDefault="00183160" w:rsidP="00A50569">
      <w:pPr>
        <w:pStyle w:val="NoSpacing"/>
        <w:tabs>
          <w:tab w:val="left" w:pos="3330"/>
          <w:tab w:val="left" w:pos="4590"/>
        </w:tabs>
        <w:ind w:right="-450"/>
        <w:rPr>
          <w:rFonts w:ascii="Times New Roman" w:hAnsi="Times New Roman" w:cs="Times New Roman"/>
        </w:rPr>
      </w:pPr>
      <w:r w:rsidRPr="003E0B87">
        <w:rPr>
          <w:rFonts w:ascii="Times New Roman" w:hAnsi="Times New Roman" w:cs="Times New Roman"/>
        </w:rPr>
        <w:t>Judith Drake, Chair</w:t>
      </w:r>
      <w:r w:rsidRPr="003E0B87">
        <w:rPr>
          <w:rFonts w:ascii="Times New Roman" w:hAnsi="Times New Roman" w:cs="Times New Roman"/>
        </w:rPr>
        <w:tab/>
      </w:r>
      <w:r w:rsidR="00A50569" w:rsidRPr="003E0B87">
        <w:rPr>
          <w:rFonts w:ascii="Times New Roman" w:hAnsi="Times New Roman" w:cs="Times New Roman"/>
        </w:rPr>
        <w:tab/>
      </w:r>
      <w:r w:rsidRPr="003E0B87">
        <w:rPr>
          <w:rFonts w:ascii="Times New Roman" w:hAnsi="Times New Roman" w:cs="Times New Roman"/>
        </w:rPr>
        <w:t>Town of Ithaca</w:t>
      </w:r>
      <w:r w:rsidRPr="003E0B87">
        <w:rPr>
          <w:rFonts w:ascii="Times New Roman" w:hAnsi="Times New Roman" w:cs="Times New Roman"/>
        </w:rPr>
        <w:tab/>
      </w:r>
      <w:hyperlink r:id="rId12" w:history="1"/>
      <w:r w:rsidR="00A50569" w:rsidRPr="003E0B87">
        <w:rPr>
          <w:rStyle w:val="Hyperlink"/>
          <w:rFonts w:ascii="Times New Roman" w:hAnsi="Times New Roman" w:cs="Times New Roman"/>
        </w:rPr>
        <w:t xml:space="preserve"> </w:t>
      </w:r>
    </w:p>
    <w:p w:rsidR="00183160" w:rsidRPr="003E0B87" w:rsidRDefault="00183160"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Rordan Hart, Vice Chair</w:t>
      </w:r>
      <w:r w:rsidRPr="003E0B87">
        <w:rPr>
          <w:rFonts w:ascii="Times New Roman" w:hAnsi="Times New Roman" w:cs="Times New Roman"/>
        </w:rPr>
        <w:tab/>
      </w:r>
      <w:r w:rsidR="00A50569" w:rsidRPr="003E0B87">
        <w:rPr>
          <w:rFonts w:ascii="Times New Roman" w:hAnsi="Times New Roman" w:cs="Times New Roman"/>
        </w:rPr>
        <w:tab/>
      </w:r>
      <w:r w:rsidRPr="003E0B87">
        <w:rPr>
          <w:rFonts w:ascii="Times New Roman" w:hAnsi="Times New Roman" w:cs="Times New Roman"/>
        </w:rPr>
        <w:t>Village of Trumansburg</w:t>
      </w:r>
      <w:r w:rsidRPr="003E0B87">
        <w:rPr>
          <w:rFonts w:ascii="Times New Roman" w:hAnsi="Times New Roman" w:cs="Times New Roman"/>
        </w:rPr>
        <w:tab/>
      </w:r>
      <w:hyperlink r:id="rId13" w:history="1"/>
      <w:r w:rsidR="00A50569" w:rsidRPr="003E0B87">
        <w:rPr>
          <w:rStyle w:val="Hyperlink"/>
          <w:rFonts w:ascii="Times New Roman" w:hAnsi="Times New Roman" w:cs="Times New Roman"/>
        </w:rPr>
        <w:t xml:space="preserve"> </w:t>
      </w:r>
    </w:p>
    <w:p w:rsidR="00183160" w:rsidRPr="003E0B87" w:rsidRDefault="00183160"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Steven Thayer, Chief Fiscal Officer</w:t>
      </w:r>
      <w:r w:rsidRPr="003E0B87">
        <w:rPr>
          <w:rFonts w:ascii="Times New Roman" w:hAnsi="Times New Roman" w:cs="Times New Roman"/>
        </w:rPr>
        <w:tab/>
      </w:r>
      <w:r w:rsidR="00A50569" w:rsidRPr="003E0B87">
        <w:rPr>
          <w:rFonts w:ascii="Times New Roman" w:hAnsi="Times New Roman" w:cs="Times New Roman"/>
        </w:rPr>
        <w:tab/>
      </w:r>
      <w:r w:rsidRPr="003E0B87">
        <w:rPr>
          <w:rFonts w:ascii="Times New Roman" w:hAnsi="Times New Roman" w:cs="Times New Roman"/>
        </w:rPr>
        <w:t>City of Ithaca</w:t>
      </w:r>
      <w:r w:rsidRPr="003E0B87">
        <w:rPr>
          <w:rFonts w:ascii="Times New Roman" w:hAnsi="Times New Roman" w:cs="Times New Roman"/>
        </w:rPr>
        <w:tab/>
      </w:r>
      <w:hyperlink r:id="rId14" w:history="1"/>
      <w:r w:rsidR="00A50569" w:rsidRPr="003E0B87">
        <w:rPr>
          <w:rStyle w:val="Hyperlink"/>
          <w:rFonts w:ascii="Times New Roman" w:hAnsi="Times New Roman" w:cs="Times New Roman"/>
        </w:rPr>
        <w:t xml:space="preserve"> </w:t>
      </w:r>
    </w:p>
    <w:p w:rsidR="00A30F30" w:rsidRPr="003E0B87" w:rsidRDefault="00A30F30" w:rsidP="00A30F30">
      <w:pPr>
        <w:pStyle w:val="NoSpacing"/>
        <w:tabs>
          <w:tab w:val="left" w:pos="3330"/>
          <w:tab w:val="left" w:pos="4590"/>
          <w:tab w:val="left" w:pos="6660"/>
        </w:tabs>
        <w:ind w:right="-450"/>
        <w:rPr>
          <w:rStyle w:val="Hyperlink"/>
          <w:rFonts w:ascii="Times New Roman" w:hAnsi="Times New Roman" w:cs="Times New Roman"/>
          <w:color w:val="auto"/>
          <w:u w:val="none"/>
        </w:rPr>
      </w:pPr>
      <w:r w:rsidRPr="003E0B87">
        <w:rPr>
          <w:rFonts w:ascii="Times New Roman" w:hAnsi="Times New Roman" w:cs="Times New Roman"/>
        </w:rPr>
        <w:t>Charles Rankin, Secretary</w:t>
      </w:r>
      <w:r w:rsidRPr="003E0B87">
        <w:rPr>
          <w:rFonts w:ascii="Times New Roman" w:hAnsi="Times New Roman" w:cs="Times New Roman"/>
        </w:rPr>
        <w:tab/>
      </w:r>
      <w:r w:rsidRPr="003E0B87">
        <w:rPr>
          <w:rFonts w:ascii="Times New Roman" w:hAnsi="Times New Roman" w:cs="Times New Roman"/>
        </w:rPr>
        <w:tab/>
        <w:t>Village of Groton</w:t>
      </w:r>
      <w:r w:rsidRPr="003E0B87">
        <w:rPr>
          <w:rFonts w:ascii="Times New Roman" w:hAnsi="Times New Roman" w:cs="Times New Roman"/>
        </w:rPr>
        <w:tab/>
      </w:r>
      <w:hyperlink r:id="rId15" w:history="1"/>
      <w:r w:rsidRPr="003E0B87">
        <w:rPr>
          <w:rStyle w:val="Hyperlink"/>
          <w:rFonts w:ascii="Times New Roman" w:hAnsi="Times New Roman" w:cs="Times New Roman"/>
          <w:color w:val="auto"/>
          <w:u w:val="none"/>
        </w:rPr>
        <w:t xml:space="preserve"> </w:t>
      </w:r>
    </w:p>
    <w:p w:rsidR="00183160" w:rsidRPr="003E0B87" w:rsidRDefault="003168E2"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 xml:space="preserve">Amy </w:t>
      </w:r>
      <w:proofErr w:type="spellStart"/>
      <w:r w:rsidRPr="003E0B87">
        <w:rPr>
          <w:rFonts w:ascii="Times New Roman" w:hAnsi="Times New Roman" w:cs="Times New Roman"/>
        </w:rPr>
        <w:t>Guerer</w:t>
      </w:r>
      <w:r w:rsidR="00A30F30" w:rsidRPr="003E0B87">
        <w:rPr>
          <w:rFonts w:ascii="Times New Roman" w:hAnsi="Times New Roman" w:cs="Times New Roman"/>
        </w:rPr>
        <w:t>r</w:t>
      </w:r>
      <w:r w:rsidRPr="003E0B87">
        <w:rPr>
          <w:rFonts w:ascii="Times New Roman" w:hAnsi="Times New Roman" w:cs="Times New Roman"/>
        </w:rPr>
        <w:t>i</w:t>
      </w:r>
      <w:proofErr w:type="spellEnd"/>
      <w:r w:rsidR="00183160" w:rsidRPr="003E0B87">
        <w:rPr>
          <w:rFonts w:ascii="Times New Roman" w:hAnsi="Times New Roman" w:cs="Times New Roman"/>
        </w:rPr>
        <w:tab/>
      </w:r>
      <w:r w:rsidR="00A50569" w:rsidRPr="003E0B87">
        <w:rPr>
          <w:rFonts w:ascii="Times New Roman" w:hAnsi="Times New Roman" w:cs="Times New Roman"/>
        </w:rPr>
        <w:tab/>
      </w:r>
      <w:r w:rsidR="00183160" w:rsidRPr="003E0B87">
        <w:rPr>
          <w:rFonts w:ascii="Times New Roman" w:hAnsi="Times New Roman" w:cs="Times New Roman"/>
        </w:rPr>
        <w:t>Tompkins County</w:t>
      </w:r>
      <w:r w:rsidR="00183160" w:rsidRPr="003E0B87">
        <w:rPr>
          <w:rFonts w:ascii="Times New Roman" w:hAnsi="Times New Roman" w:cs="Times New Roman"/>
        </w:rPr>
        <w:tab/>
      </w:r>
      <w:hyperlink r:id="rId16" w:history="1"/>
      <w:r w:rsidR="00A50569" w:rsidRPr="003E0B87">
        <w:rPr>
          <w:rFonts w:ascii="Times New Roman" w:hAnsi="Times New Roman" w:cs="Times New Roman"/>
        </w:rPr>
        <w:t xml:space="preserve"> </w:t>
      </w:r>
    </w:p>
    <w:p w:rsidR="00183160" w:rsidRPr="003E0B87" w:rsidRDefault="00183160"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Mack Cook</w:t>
      </w:r>
      <w:r w:rsidRPr="003E0B87">
        <w:rPr>
          <w:rFonts w:ascii="Times New Roman" w:hAnsi="Times New Roman" w:cs="Times New Roman"/>
        </w:rPr>
        <w:tab/>
      </w:r>
      <w:r w:rsidR="00A50569" w:rsidRPr="003E0B87">
        <w:rPr>
          <w:rFonts w:ascii="Times New Roman" w:hAnsi="Times New Roman" w:cs="Times New Roman"/>
        </w:rPr>
        <w:tab/>
      </w:r>
      <w:r w:rsidRPr="003E0B87">
        <w:rPr>
          <w:rFonts w:ascii="Times New Roman" w:hAnsi="Times New Roman" w:cs="Times New Roman"/>
        </w:rPr>
        <w:t>City of Cortland</w:t>
      </w:r>
      <w:r w:rsidRPr="003E0B87">
        <w:rPr>
          <w:rFonts w:ascii="Times New Roman" w:hAnsi="Times New Roman" w:cs="Times New Roman"/>
        </w:rPr>
        <w:tab/>
      </w:r>
      <w:hyperlink r:id="rId17" w:history="1"/>
      <w:r w:rsidR="00A50569" w:rsidRPr="003E0B87">
        <w:rPr>
          <w:rStyle w:val="Hyperlink"/>
          <w:rFonts w:ascii="Times New Roman" w:hAnsi="Times New Roman" w:cs="Times New Roman"/>
        </w:rPr>
        <w:t xml:space="preserve"> </w:t>
      </w:r>
    </w:p>
    <w:p w:rsidR="00183160" w:rsidRPr="003E0B87" w:rsidRDefault="00183160"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 xml:space="preserve">John </w:t>
      </w:r>
      <w:proofErr w:type="spellStart"/>
      <w:r w:rsidRPr="003E0B87">
        <w:rPr>
          <w:rFonts w:ascii="Times New Roman" w:hAnsi="Times New Roman" w:cs="Times New Roman"/>
        </w:rPr>
        <w:t>Fracchia</w:t>
      </w:r>
      <w:proofErr w:type="spellEnd"/>
      <w:r w:rsidRPr="003E0B87">
        <w:rPr>
          <w:rFonts w:ascii="Times New Roman" w:hAnsi="Times New Roman" w:cs="Times New Roman"/>
        </w:rPr>
        <w:tab/>
      </w:r>
      <w:r w:rsidR="00A50569" w:rsidRPr="003E0B87">
        <w:rPr>
          <w:rFonts w:ascii="Times New Roman" w:hAnsi="Times New Roman" w:cs="Times New Roman"/>
        </w:rPr>
        <w:tab/>
      </w:r>
      <w:r w:rsidRPr="003E0B87">
        <w:rPr>
          <w:rFonts w:ascii="Times New Roman" w:hAnsi="Times New Roman" w:cs="Times New Roman"/>
        </w:rPr>
        <w:t>Town of Caroline</w:t>
      </w:r>
      <w:r w:rsidRPr="003E0B87">
        <w:rPr>
          <w:rFonts w:ascii="Times New Roman" w:hAnsi="Times New Roman" w:cs="Times New Roman"/>
        </w:rPr>
        <w:tab/>
      </w:r>
      <w:hyperlink r:id="rId18" w:history="1"/>
      <w:r w:rsidR="00A50569" w:rsidRPr="003E0B87">
        <w:rPr>
          <w:rStyle w:val="Hyperlink"/>
          <w:rFonts w:ascii="Times New Roman" w:hAnsi="Times New Roman" w:cs="Times New Roman"/>
        </w:rPr>
        <w:t xml:space="preserve"> </w:t>
      </w:r>
    </w:p>
    <w:p w:rsidR="00183160" w:rsidRPr="003E0B87" w:rsidRDefault="003168E2"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 xml:space="preserve">Deborah </w:t>
      </w:r>
      <w:proofErr w:type="spellStart"/>
      <w:r w:rsidRPr="003E0B87">
        <w:rPr>
          <w:rFonts w:ascii="Times New Roman" w:hAnsi="Times New Roman" w:cs="Times New Roman"/>
        </w:rPr>
        <w:t>Cipolla</w:t>
      </w:r>
      <w:proofErr w:type="spellEnd"/>
      <w:r w:rsidRPr="003E0B87">
        <w:rPr>
          <w:rFonts w:ascii="Times New Roman" w:hAnsi="Times New Roman" w:cs="Times New Roman"/>
        </w:rPr>
        <w:t>-Dennis</w:t>
      </w:r>
      <w:r w:rsidR="00183160" w:rsidRPr="003E0B87">
        <w:rPr>
          <w:rFonts w:ascii="Times New Roman" w:hAnsi="Times New Roman" w:cs="Times New Roman"/>
        </w:rPr>
        <w:tab/>
      </w:r>
      <w:r w:rsidR="00A50569" w:rsidRPr="003E0B87">
        <w:rPr>
          <w:rFonts w:ascii="Times New Roman" w:hAnsi="Times New Roman" w:cs="Times New Roman"/>
        </w:rPr>
        <w:tab/>
      </w:r>
      <w:r w:rsidR="00183160" w:rsidRPr="003E0B87">
        <w:rPr>
          <w:rFonts w:ascii="Times New Roman" w:hAnsi="Times New Roman" w:cs="Times New Roman"/>
        </w:rPr>
        <w:t>Town of Dryden</w:t>
      </w:r>
      <w:r w:rsidR="00183160" w:rsidRPr="003E0B87">
        <w:rPr>
          <w:rFonts w:ascii="Times New Roman" w:hAnsi="Times New Roman" w:cs="Times New Roman"/>
        </w:rPr>
        <w:tab/>
      </w:r>
      <w:hyperlink r:id="rId19" w:history="1"/>
      <w:r w:rsidR="00A50569" w:rsidRPr="003E0B87">
        <w:rPr>
          <w:rFonts w:ascii="Times New Roman" w:hAnsi="Times New Roman" w:cs="Times New Roman"/>
        </w:rPr>
        <w:t xml:space="preserve"> </w:t>
      </w:r>
    </w:p>
    <w:p w:rsidR="00183160" w:rsidRPr="003E0B87" w:rsidRDefault="00183160"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 xml:space="preserve">Herb </w:t>
      </w:r>
      <w:proofErr w:type="spellStart"/>
      <w:r w:rsidRPr="003E0B87">
        <w:rPr>
          <w:rFonts w:ascii="Times New Roman" w:hAnsi="Times New Roman" w:cs="Times New Roman"/>
        </w:rPr>
        <w:t>Masser</w:t>
      </w:r>
      <w:proofErr w:type="spellEnd"/>
      <w:r w:rsidRPr="003E0B87">
        <w:rPr>
          <w:rFonts w:ascii="Times New Roman" w:hAnsi="Times New Roman" w:cs="Times New Roman"/>
        </w:rPr>
        <w:tab/>
      </w:r>
      <w:r w:rsidR="00A50569" w:rsidRPr="003E0B87">
        <w:rPr>
          <w:rFonts w:ascii="Times New Roman" w:hAnsi="Times New Roman" w:cs="Times New Roman"/>
        </w:rPr>
        <w:tab/>
      </w:r>
      <w:r w:rsidRPr="003E0B87">
        <w:rPr>
          <w:rFonts w:ascii="Times New Roman" w:hAnsi="Times New Roman" w:cs="Times New Roman"/>
        </w:rPr>
        <w:t>Town of Enfield</w:t>
      </w:r>
      <w:r w:rsidRPr="003E0B87">
        <w:rPr>
          <w:rFonts w:ascii="Times New Roman" w:hAnsi="Times New Roman" w:cs="Times New Roman"/>
        </w:rPr>
        <w:tab/>
      </w:r>
      <w:hyperlink r:id="rId20" w:history="1"/>
      <w:r w:rsidR="00A50569" w:rsidRPr="003E0B87">
        <w:rPr>
          <w:rStyle w:val="Hyperlink"/>
          <w:rFonts w:ascii="Times New Roman" w:hAnsi="Times New Roman" w:cs="Times New Roman"/>
        </w:rPr>
        <w:t xml:space="preserve"> </w:t>
      </w:r>
    </w:p>
    <w:p w:rsidR="00183160" w:rsidRPr="003E0B87" w:rsidRDefault="003168E2" w:rsidP="00A50569">
      <w:pPr>
        <w:pStyle w:val="NoSpacing"/>
        <w:tabs>
          <w:tab w:val="left" w:pos="3330"/>
          <w:tab w:val="left" w:pos="4590"/>
          <w:tab w:val="left" w:pos="6660"/>
        </w:tabs>
        <w:ind w:right="-450"/>
        <w:rPr>
          <w:rStyle w:val="Hyperlink"/>
          <w:rFonts w:ascii="Times New Roman" w:hAnsi="Times New Roman" w:cs="Times New Roman"/>
          <w:color w:val="auto"/>
          <w:u w:val="none"/>
        </w:rPr>
      </w:pPr>
      <w:r w:rsidRPr="003E0B87">
        <w:rPr>
          <w:rFonts w:ascii="Times New Roman" w:hAnsi="Times New Roman" w:cs="Times New Roman"/>
        </w:rPr>
        <w:t xml:space="preserve">Don </w:t>
      </w:r>
      <w:proofErr w:type="spellStart"/>
      <w:r w:rsidRPr="003E0B87">
        <w:rPr>
          <w:rFonts w:ascii="Times New Roman" w:hAnsi="Times New Roman" w:cs="Times New Roman"/>
        </w:rPr>
        <w:t>Scheff</w:t>
      </w:r>
      <w:r w:rsidR="00A30F30" w:rsidRPr="003E0B87">
        <w:rPr>
          <w:rFonts w:ascii="Times New Roman" w:hAnsi="Times New Roman" w:cs="Times New Roman"/>
        </w:rPr>
        <w:t>l</w:t>
      </w:r>
      <w:r w:rsidRPr="003E0B87">
        <w:rPr>
          <w:rFonts w:ascii="Times New Roman" w:hAnsi="Times New Roman" w:cs="Times New Roman"/>
        </w:rPr>
        <w:t>er</w:t>
      </w:r>
      <w:proofErr w:type="spellEnd"/>
      <w:r w:rsidR="00183160" w:rsidRPr="003E0B87">
        <w:rPr>
          <w:rFonts w:ascii="Times New Roman" w:hAnsi="Times New Roman" w:cs="Times New Roman"/>
        </w:rPr>
        <w:tab/>
      </w:r>
      <w:r w:rsidR="00A50569" w:rsidRPr="003E0B87">
        <w:rPr>
          <w:rFonts w:ascii="Times New Roman" w:hAnsi="Times New Roman" w:cs="Times New Roman"/>
        </w:rPr>
        <w:tab/>
      </w:r>
      <w:r w:rsidR="00183160" w:rsidRPr="003E0B87">
        <w:rPr>
          <w:rFonts w:ascii="Times New Roman" w:hAnsi="Times New Roman" w:cs="Times New Roman"/>
        </w:rPr>
        <w:t>Town of Groton</w:t>
      </w:r>
      <w:r w:rsidR="00183160" w:rsidRPr="003E0B87">
        <w:rPr>
          <w:rFonts w:ascii="Times New Roman" w:hAnsi="Times New Roman" w:cs="Times New Roman"/>
        </w:rPr>
        <w:tab/>
      </w:r>
      <w:hyperlink r:id="rId21" w:history="1"/>
      <w:r w:rsidR="00A50569" w:rsidRPr="003E0B87">
        <w:rPr>
          <w:rStyle w:val="Hyperlink"/>
          <w:rFonts w:ascii="Times New Roman" w:hAnsi="Times New Roman" w:cs="Times New Roman"/>
          <w:color w:val="auto"/>
          <w:u w:val="none"/>
        </w:rPr>
        <w:t xml:space="preserve"> </w:t>
      </w:r>
    </w:p>
    <w:p w:rsidR="00A50569" w:rsidRPr="003E0B87" w:rsidRDefault="00A50569" w:rsidP="00A50569">
      <w:pPr>
        <w:pStyle w:val="NoSpacing"/>
        <w:tabs>
          <w:tab w:val="left" w:pos="3330"/>
          <w:tab w:val="left" w:pos="4590"/>
          <w:tab w:val="left" w:pos="6660"/>
        </w:tabs>
        <w:ind w:right="-450"/>
        <w:rPr>
          <w:rStyle w:val="Hyperlink"/>
          <w:rFonts w:ascii="Times New Roman" w:hAnsi="Times New Roman" w:cs="Times New Roman"/>
          <w:color w:val="auto"/>
          <w:u w:val="none"/>
        </w:rPr>
      </w:pPr>
      <w:r w:rsidRPr="003E0B87">
        <w:rPr>
          <w:rStyle w:val="Hyperlink"/>
          <w:rFonts w:ascii="Times New Roman" w:hAnsi="Times New Roman" w:cs="Times New Roman"/>
          <w:color w:val="auto"/>
          <w:u w:val="none"/>
        </w:rPr>
        <w:t>Thomas Adams</w:t>
      </w:r>
      <w:r w:rsidRPr="003E0B87">
        <w:rPr>
          <w:rStyle w:val="Hyperlink"/>
          <w:rFonts w:ascii="Times New Roman" w:hAnsi="Times New Roman" w:cs="Times New Roman"/>
          <w:color w:val="auto"/>
          <w:u w:val="none"/>
        </w:rPr>
        <w:tab/>
      </w:r>
      <w:r w:rsidRPr="003E0B87">
        <w:rPr>
          <w:rStyle w:val="Hyperlink"/>
          <w:rFonts w:ascii="Times New Roman" w:hAnsi="Times New Roman" w:cs="Times New Roman"/>
          <w:color w:val="auto"/>
          <w:u w:val="none"/>
        </w:rPr>
        <w:tab/>
        <w:t>Town of Marathon</w:t>
      </w:r>
    </w:p>
    <w:p w:rsidR="00A50569" w:rsidRPr="003E0B87" w:rsidRDefault="00A50569" w:rsidP="00A50569">
      <w:pPr>
        <w:pStyle w:val="NoSpacing"/>
        <w:tabs>
          <w:tab w:val="left" w:pos="3330"/>
          <w:tab w:val="left" w:pos="4590"/>
          <w:tab w:val="left" w:pos="6660"/>
        </w:tabs>
        <w:ind w:right="-450"/>
        <w:rPr>
          <w:rFonts w:ascii="Times New Roman" w:hAnsi="Times New Roman" w:cs="Times New Roman"/>
        </w:rPr>
      </w:pPr>
      <w:r w:rsidRPr="003E0B87">
        <w:rPr>
          <w:rStyle w:val="Hyperlink"/>
          <w:rFonts w:ascii="Times New Roman" w:hAnsi="Times New Roman" w:cs="Times New Roman"/>
          <w:color w:val="auto"/>
          <w:u w:val="none"/>
        </w:rPr>
        <w:t>Tom Brown</w:t>
      </w:r>
      <w:r w:rsidRPr="003E0B87">
        <w:rPr>
          <w:rStyle w:val="Hyperlink"/>
          <w:rFonts w:ascii="Times New Roman" w:hAnsi="Times New Roman" w:cs="Times New Roman"/>
          <w:color w:val="auto"/>
          <w:u w:val="none"/>
        </w:rPr>
        <w:tab/>
      </w:r>
      <w:r w:rsidRPr="003E0B87">
        <w:rPr>
          <w:rStyle w:val="Hyperlink"/>
          <w:rFonts w:ascii="Times New Roman" w:hAnsi="Times New Roman" w:cs="Times New Roman"/>
          <w:color w:val="auto"/>
          <w:u w:val="none"/>
        </w:rPr>
        <w:tab/>
        <w:t xml:space="preserve">Town of </w:t>
      </w:r>
      <w:proofErr w:type="spellStart"/>
      <w:r w:rsidRPr="003E0B87">
        <w:rPr>
          <w:rStyle w:val="Hyperlink"/>
          <w:rFonts w:ascii="Times New Roman" w:hAnsi="Times New Roman" w:cs="Times New Roman"/>
          <w:color w:val="auto"/>
          <w:u w:val="none"/>
        </w:rPr>
        <w:t>Truxton</w:t>
      </w:r>
      <w:proofErr w:type="spellEnd"/>
    </w:p>
    <w:p w:rsidR="00183160" w:rsidRPr="003E0B87" w:rsidRDefault="003168E2" w:rsidP="00A50569">
      <w:pPr>
        <w:pStyle w:val="NoSpacing"/>
        <w:tabs>
          <w:tab w:val="left" w:pos="3330"/>
          <w:tab w:val="left" w:pos="4590"/>
          <w:tab w:val="left" w:pos="6660"/>
        </w:tabs>
        <w:ind w:right="-450"/>
        <w:rPr>
          <w:rStyle w:val="Hyperlink"/>
          <w:rFonts w:ascii="Times New Roman" w:hAnsi="Times New Roman" w:cs="Times New Roman"/>
          <w:color w:val="auto"/>
          <w:u w:val="none"/>
        </w:rPr>
      </w:pPr>
      <w:r w:rsidRPr="003E0B87">
        <w:rPr>
          <w:rFonts w:ascii="Times New Roman" w:hAnsi="Times New Roman" w:cs="Times New Roman"/>
        </w:rPr>
        <w:t xml:space="preserve">Nancy </w:t>
      </w:r>
      <w:proofErr w:type="spellStart"/>
      <w:r w:rsidRPr="003E0B87">
        <w:rPr>
          <w:rFonts w:ascii="Times New Roman" w:hAnsi="Times New Roman" w:cs="Times New Roman"/>
        </w:rPr>
        <w:t>Zahler</w:t>
      </w:r>
      <w:proofErr w:type="spellEnd"/>
      <w:r w:rsidR="00183160" w:rsidRPr="003E0B87">
        <w:rPr>
          <w:rFonts w:ascii="Times New Roman" w:hAnsi="Times New Roman" w:cs="Times New Roman"/>
        </w:rPr>
        <w:tab/>
      </w:r>
      <w:r w:rsidR="00A50569" w:rsidRPr="003E0B87">
        <w:rPr>
          <w:rFonts w:ascii="Times New Roman" w:hAnsi="Times New Roman" w:cs="Times New Roman"/>
        </w:rPr>
        <w:tab/>
      </w:r>
      <w:r w:rsidR="00183160" w:rsidRPr="003E0B87">
        <w:rPr>
          <w:rFonts w:ascii="Times New Roman" w:hAnsi="Times New Roman" w:cs="Times New Roman"/>
        </w:rPr>
        <w:t>Town of Ulysses</w:t>
      </w:r>
      <w:r w:rsidR="00183160" w:rsidRPr="003E0B87">
        <w:rPr>
          <w:rFonts w:ascii="Times New Roman" w:hAnsi="Times New Roman" w:cs="Times New Roman"/>
        </w:rPr>
        <w:tab/>
      </w:r>
    </w:p>
    <w:p w:rsidR="00A50569" w:rsidRPr="003E0B87" w:rsidRDefault="00A50569" w:rsidP="00A50569">
      <w:pPr>
        <w:pStyle w:val="NoSpacing"/>
        <w:tabs>
          <w:tab w:val="left" w:pos="3330"/>
          <w:tab w:val="left" w:pos="4590"/>
          <w:tab w:val="left" w:pos="6660"/>
        </w:tabs>
        <w:ind w:right="-450"/>
        <w:rPr>
          <w:rStyle w:val="Hyperlink"/>
          <w:rFonts w:ascii="Times New Roman" w:hAnsi="Times New Roman" w:cs="Times New Roman"/>
          <w:color w:val="auto"/>
          <w:u w:val="none"/>
        </w:rPr>
      </w:pPr>
      <w:r w:rsidRPr="003E0B87">
        <w:rPr>
          <w:rStyle w:val="Hyperlink"/>
          <w:rFonts w:ascii="Times New Roman" w:hAnsi="Times New Roman" w:cs="Times New Roman"/>
          <w:color w:val="auto"/>
          <w:u w:val="none"/>
        </w:rPr>
        <w:t>Eric Snow</w:t>
      </w:r>
      <w:r w:rsidRPr="003E0B87">
        <w:rPr>
          <w:rStyle w:val="Hyperlink"/>
          <w:rFonts w:ascii="Times New Roman" w:hAnsi="Times New Roman" w:cs="Times New Roman"/>
          <w:color w:val="auto"/>
          <w:u w:val="none"/>
        </w:rPr>
        <w:tab/>
      </w:r>
      <w:r w:rsidRPr="003E0B87">
        <w:rPr>
          <w:rStyle w:val="Hyperlink"/>
          <w:rFonts w:ascii="Times New Roman" w:hAnsi="Times New Roman" w:cs="Times New Roman"/>
          <w:color w:val="auto"/>
          <w:u w:val="none"/>
        </w:rPr>
        <w:tab/>
        <w:t>Town of Virgil</w:t>
      </w:r>
    </w:p>
    <w:p w:rsidR="00A50569" w:rsidRPr="003E0B87" w:rsidRDefault="00A50569" w:rsidP="00A50569">
      <w:pPr>
        <w:pStyle w:val="NoSpacing"/>
        <w:tabs>
          <w:tab w:val="left" w:pos="3330"/>
          <w:tab w:val="left" w:pos="4590"/>
          <w:tab w:val="left" w:pos="6660"/>
        </w:tabs>
        <w:ind w:right="-450"/>
        <w:rPr>
          <w:rFonts w:ascii="Times New Roman" w:hAnsi="Times New Roman" w:cs="Times New Roman"/>
        </w:rPr>
      </w:pPr>
      <w:r w:rsidRPr="003E0B87">
        <w:rPr>
          <w:rStyle w:val="Hyperlink"/>
          <w:rFonts w:ascii="Times New Roman" w:hAnsi="Times New Roman" w:cs="Times New Roman"/>
          <w:color w:val="auto"/>
          <w:u w:val="none"/>
        </w:rPr>
        <w:t xml:space="preserve">Alvin Doty, Jr. </w:t>
      </w:r>
      <w:r w:rsidRPr="003E0B87">
        <w:rPr>
          <w:rStyle w:val="Hyperlink"/>
          <w:rFonts w:ascii="Times New Roman" w:hAnsi="Times New Roman" w:cs="Times New Roman"/>
          <w:color w:val="auto"/>
          <w:u w:val="none"/>
        </w:rPr>
        <w:tab/>
      </w:r>
      <w:r w:rsidRPr="003E0B87">
        <w:rPr>
          <w:rStyle w:val="Hyperlink"/>
          <w:rFonts w:ascii="Times New Roman" w:hAnsi="Times New Roman" w:cs="Times New Roman"/>
          <w:color w:val="auto"/>
          <w:u w:val="none"/>
        </w:rPr>
        <w:tab/>
        <w:t>Town of Willet</w:t>
      </w:r>
    </w:p>
    <w:p w:rsidR="00183160" w:rsidRPr="003E0B87" w:rsidRDefault="00183160"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Michael Murphy</w:t>
      </w:r>
      <w:r w:rsidRPr="003E0B87">
        <w:rPr>
          <w:rFonts w:ascii="Times New Roman" w:hAnsi="Times New Roman" w:cs="Times New Roman"/>
        </w:rPr>
        <w:tab/>
      </w:r>
      <w:r w:rsidR="00A50569" w:rsidRPr="003E0B87">
        <w:rPr>
          <w:rFonts w:ascii="Times New Roman" w:hAnsi="Times New Roman" w:cs="Times New Roman"/>
        </w:rPr>
        <w:tab/>
      </w:r>
      <w:r w:rsidRPr="003E0B87">
        <w:rPr>
          <w:rFonts w:ascii="Times New Roman" w:hAnsi="Times New Roman" w:cs="Times New Roman"/>
        </w:rPr>
        <w:t xml:space="preserve">Village of Dryden </w:t>
      </w:r>
      <w:r w:rsidRPr="003E0B87">
        <w:rPr>
          <w:rFonts w:ascii="Times New Roman" w:hAnsi="Times New Roman" w:cs="Times New Roman"/>
        </w:rPr>
        <w:tab/>
      </w:r>
      <w:hyperlink r:id="rId22" w:history="1"/>
      <w:r w:rsidR="00A50569" w:rsidRPr="003E0B87">
        <w:rPr>
          <w:rStyle w:val="Hyperlink"/>
          <w:rFonts w:ascii="Times New Roman" w:hAnsi="Times New Roman" w:cs="Times New Roman"/>
          <w:color w:val="auto"/>
          <w:u w:val="none"/>
        </w:rPr>
        <w:t xml:space="preserve"> </w:t>
      </w:r>
    </w:p>
    <w:p w:rsidR="003168E2" w:rsidRPr="003E0B87" w:rsidRDefault="003168E2" w:rsidP="00A50569">
      <w:pPr>
        <w:pStyle w:val="NoSpacing"/>
        <w:tabs>
          <w:tab w:val="left" w:pos="3330"/>
          <w:tab w:val="left" w:pos="4590"/>
          <w:tab w:val="left" w:pos="6660"/>
        </w:tabs>
        <w:ind w:right="-450"/>
        <w:rPr>
          <w:rFonts w:ascii="Times New Roman" w:hAnsi="Times New Roman" w:cs="Times New Roman"/>
        </w:rPr>
      </w:pPr>
      <w:r w:rsidRPr="003E0B87">
        <w:rPr>
          <w:rStyle w:val="Hyperlink"/>
          <w:rFonts w:ascii="Times New Roman" w:hAnsi="Times New Roman" w:cs="Times New Roman"/>
          <w:color w:val="auto"/>
          <w:u w:val="none"/>
        </w:rPr>
        <w:t>Genevieve Suits</w:t>
      </w:r>
      <w:r w:rsidRPr="003E0B87">
        <w:rPr>
          <w:rStyle w:val="Hyperlink"/>
          <w:rFonts w:ascii="Times New Roman" w:hAnsi="Times New Roman" w:cs="Times New Roman"/>
          <w:color w:val="auto"/>
          <w:u w:val="none"/>
        </w:rPr>
        <w:tab/>
      </w:r>
      <w:r w:rsidR="00A50569" w:rsidRPr="003E0B87">
        <w:rPr>
          <w:rStyle w:val="Hyperlink"/>
          <w:rFonts w:ascii="Times New Roman" w:hAnsi="Times New Roman" w:cs="Times New Roman"/>
          <w:color w:val="auto"/>
          <w:u w:val="none"/>
        </w:rPr>
        <w:tab/>
      </w:r>
      <w:r w:rsidRPr="003E0B87">
        <w:rPr>
          <w:rStyle w:val="Hyperlink"/>
          <w:rFonts w:ascii="Times New Roman" w:hAnsi="Times New Roman" w:cs="Times New Roman"/>
          <w:color w:val="auto"/>
          <w:u w:val="none"/>
        </w:rPr>
        <w:t>Village of Homer</w:t>
      </w:r>
    </w:p>
    <w:p w:rsidR="00183160" w:rsidRPr="003E0B87" w:rsidRDefault="003168E2" w:rsidP="00A50569">
      <w:pPr>
        <w:pStyle w:val="NoSpacing"/>
        <w:tabs>
          <w:tab w:val="left" w:pos="3330"/>
          <w:tab w:val="left" w:pos="4590"/>
          <w:tab w:val="left" w:pos="6660"/>
        </w:tabs>
        <w:ind w:right="-450"/>
        <w:rPr>
          <w:rFonts w:ascii="Times New Roman" w:hAnsi="Times New Roman" w:cs="Times New Roman"/>
        </w:rPr>
      </w:pPr>
      <w:proofErr w:type="spellStart"/>
      <w:r w:rsidRPr="003E0B87">
        <w:rPr>
          <w:rFonts w:ascii="Times New Roman" w:hAnsi="Times New Roman" w:cs="Times New Roman"/>
        </w:rPr>
        <w:t>Charmagne</w:t>
      </w:r>
      <w:proofErr w:type="spellEnd"/>
      <w:r w:rsidRPr="003E0B87">
        <w:rPr>
          <w:rFonts w:ascii="Times New Roman" w:hAnsi="Times New Roman" w:cs="Times New Roman"/>
        </w:rPr>
        <w:t xml:space="preserve"> </w:t>
      </w:r>
      <w:proofErr w:type="spellStart"/>
      <w:r w:rsidRPr="003E0B87">
        <w:rPr>
          <w:rFonts w:ascii="Times New Roman" w:hAnsi="Times New Roman" w:cs="Times New Roman"/>
        </w:rPr>
        <w:t>Rumgay</w:t>
      </w:r>
      <w:proofErr w:type="spellEnd"/>
      <w:r w:rsidR="00183160" w:rsidRPr="003E0B87">
        <w:rPr>
          <w:rFonts w:ascii="Times New Roman" w:hAnsi="Times New Roman" w:cs="Times New Roman"/>
        </w:rPr>
        <w:tab/>
      </w:r>
      <w:r w:rsidR="00A50569" w:rsidRPr="003E0B87">
        <w:rPr>
          <w:rFonts w:ascii="Times New Roman" w:hAnsi="Times New Roman" w:cs="Times New Roman"/>
        </w:rPr>
        <w:tab/>
      </w:r>
      <w:r w:rsidR="00183160" w:rsidRPr="003E0B87">
        <w:rPr>
          <w:rFonts w:ascii="Times New Roman" w:hAnsi="Times New Roman" w:cs="Times New Roman"/>
        </w:rPr>
        <w:t>Town of Lansing</w:t>
      </w:r>
      <w:r w:rsidR="00183160" w:rsidRPr="003E0B87">
        <w:rPr>
          <w:rFonts w:ascii="Times New Roman" w:hAnsi="Times New Roman" w:cs="Times New Roman"/>
        </w:rPr>
        <w:tab/>
      </w:r>
      <w:hyperlink r:id="rId23" w:history="1"/>
      <w:r w:rsidR="00A50569" w:rsidRPr="003E0B87">
        <w:rPr>
          <w:rStyle w:val="Hyperlink"/>
          <w:rFonts w:ascii="Times New Roman" w:hAnsi="Times New Roman" w:cs="Times New Roman"/>
        </w:rPr>
        <w:t xml:space="preserve"> </w:t>
      </w:r>
    </w:p>
    <w:p w:rsidR="00183160" w:rsidRPr="003E0B87" w:rsidRDefault="00183160"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Peter Salton</w:t>
      </w:r>
      <w:r w:rsidRPr="003E0B87">
        <w:rPr>
          <w:rFonts w:ascii="Times New Roman" w:hAnsi="Times New Roman" w:cs="Times New Roman"/>
        </w:rPr>
        <w:tab/>
      </w:r>
      <w:r w:rsidR="00A50569" w:rsidRPr="003E0B87">
        <w:rPr>
          <w:rFonts w:ascii="Times New Roman" w:hAnsi="Times New Roman" w:cs="Times New Roman"/>
        </w:rPr>
        <w:tab/>
      </w:r>
      <w:r w:rsidRPr="003E0B87">
        <w:rPr>
          <w:rFonts w:ascii="Times New Roman" w:hAnsi="Times New Roman" w:cs="Times New Roman"/>
        </w:rPr>
        <w:t>Village of Cayuga Heights</w:t>
      </w:r>
      <w:r w:rsidRPr="003E0B87">
        <w:rPr>
          <w:rFonts w:ascii="Times New Roman" w:hAnsi="Times New Roman" w:cs="Times New Roman"/>
        </w:rPr>
        <w:tab/>
      </w:r>
      <w:hyperlink r:id="rId24" w:history="1"/>
      <w:r w:rsidR="00A50569" w:rsidRPr="003E0B87">
        <w:rPr>
          <w:rStyle w:val="Hyperlink"/>
          <w:rFonts w:ascii="Times New Roman" w:hAnsi="Times New Roman" w:cs="Times New Roman"/>
        </w:rPr>
        <w:t xml:space="preserve"> </w:t>
      </w:r>
    </w:p>
    <w:p w:rsidR="00183160" w:rsidRPr="003E0B87" w:rsidRDefault="00183160"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 xml:space="preserve">Laura </w:t>
      </w:r>
      <w:proofErr w:type="spellStart"/>
      <w:r w:rsidRPr="003E0B87">
        <w:rPr>
          <w:rFonts w:ascii="Times New Roman" w:hAnsi="Times New Roman" w:cs="Times New Roman"/>
        </w:rPr>
        <w:t>Shawley</w:t>
      </w:r>
      <w:proofErr w:type="spellEnd"/>
      <w:r w:rsidRPr="003E0B87">
        <w:rPr>
          <w:rFonts w:ascii="Times New Roman" w:hAnsi="Times New Roman" w:cs="Times New Roman"/>
        </w:rPr>
        <w:tab/>
      </w:r>
      <w:r w:rsidR="00A50569" w:rsidRPr="003E0B87">
        <w:rPr>
          <w:rFonts w:ascii="Times New Roman" w:hAnsi="Times New Roman" w:cs="Times New Roman"/>
        </w:rPr>
        <w:tab/>
      </w:r>
      <w:r w:rsidRPr="003E0B87">
        <w:rPr>
          <w:rFonts w:ascii="Times New Roman" w:hAnsi="Times New Roman" w:cs="Times New Roman"/>
        </w:rPr>
        <w:t>Town of Danby</w:t>
      </w:r>
      <w:r w:rsidRPr="003E0B87">
        <w:rPr>
          <w:rFonts w:ascii="Times New Roman" w:hAnsi="Times New Roman" w:cs="Times New Roman"/>
        </w:rPr>
        <w:tab/>
      </w:r>
      <w:hyperlink r:id="rId25" w:history="1"/>
      <w:r w:rsidR="00A50569" w:rsidRPr="003E0B87">
        <w:rPr>
          <w:rStyle w:val="Hyperlink"/>
          <w:rFonts w:ascii="Times New Roman" w:hAnsi="Times New Roman" w:cs="Times New Roman"/>
        </w:rPr>
        <w:t xml:space="preserve"> </w:t>
      </w:r>
    </w:p>
    <w:p w:rsidR="00183160" w:rsidRPr="003E0B87" w:rsidRDefault="003168E2" w:rsidP="00A50569">
      <w:pPr>
        <w:pStyle w:val="NoSpacing"/>
        <w:tabs>
          <w:tab w:val="left" w:pos="3330"/>
          <w:tab w:val="left" w:pos="4590"/>
          <w:tab w:val="left" w:pos="6660"/>
        </w:tabs>
        <w:ind w:right="-450"/>
        <w:rPr>
          <w:rFonts w:ascii="Times New Roman" w:hAnsi="Times New Roman" w:cs="Times New Roman"/>
        </w:rPr>
      </w:pPr>
      <w:r w:rsidRPr="003E0B87">
        <w:rPr>
          <w:rFonts w:ascii="Times New Roman" w:hAnsi="Times New Roman" w:cs="Times New Roman"/>
        </w:rPr>
        <w:t xml:space="preserve">Phil </w:t>
      </w:r>
      <w:proofErr w:type="spellStart"/>
      <w:r w:rsidRPr="003E0B87">
        <w:rPr>
          <w:rFonts w:ascii="Times New Roman" w:hAnsi="Times New Roman" w:cs="Times New Roman"/>
        </w:rPr>
        <w:t>Vanwormer</w:t>
      </w:r>
      <w:proofErr w:type="spellEnd"/>
      <w:r w:rsidR="00183160" w:rsidRPr="003E0B87">
        <w:rPr>
          <w:rFonts w:ascii="Times New Roman" w:hAnsi="Times New Roman" w:cs="Times New Roman"/>
        </w:rPr>
        <w:tab/>
      </w:r>
      <w:r w:rsidR="00A50569" w:rsidRPr="003E0B87">
        <w:rPr>
          <w:rFonts w:ascii="Times New Roman" w:hAnsi="Times New Roman" w:cs="Times New Roman"/>
        </w:rPr>
        <w:tab/>
      </w:r>
      <w:r w:rsidR="00183160" w:rsidRPr="003E0B87">
        <w:rPr>
          <w:rFonts w:ascii="Times New Roman" w:hAnsi="Times New Roman" w:cs="Times New Roman"/>
        </w:rPr>
        <w:t xml:space="preserve">Chair, </w:t>
      </w:r>
      <w:hyperlink r:id="rId26" w:history="1"/>
      <w:r w:rsidR="00A50569" w:rsidRPr="003E0B87">
        <w:rPr>
          <w:rStyle w:val="Hyperlink"/>
          <w:rFonts w:ascii="Times New Roman" w:hAnsi="Times New Roman" w:cs="Times New Roman"/>
          <w:color w:val="auto"/>
          <w:u w:val="none"/>
        </w:rPr>
        <w:t xml:space="preserve"> J</w:t>
      </w:r>
      <w:r w:rsidR="00183160" w:rsidRPr="003E0B87">
        <w:rPr>
          <w:rFonts w:ascii="Times New Roman" w:hAnsi="Times New Roman" w:cs="Times New Roman"/>
        </w:rPr>
        <w:t>oint Comm. on Plan Structure and Design</w:t>
      </w:r>
      <w:r w:rsidR="00A50569" w:rsidRPr="003E0B87">
        <w:rPr>
          <w:rFonts w:ascii="Times New Roman" w:hAnsi="Times New Roman" w:cs="Times New Roman"/>
        </w:rPr>
        <w:t xml:space="preserve"> </w:t>
      </w:r>
    </w:p>
    <w:p w:rsidR="00183160" w:rsidRPr="003E0B87" w:rsidRDefault="003168E2" w:rsidP="00A50569">
      <w:pPr>
        <w:pStyle w:val="NoSpacing"/>
        <w:tabs>
          <w:tab w:val="left" w:pos="3330"/>
          <w:tab w:val="left" w:pos="4590"/>
          <w:tab w:val="left" w:pos="6660"/>
        </w:tabs>
        <w:ind w:right="-450"/>
        <w:rPr>
          <w:rStyle w:val="Hyperlink"/>
          <w:rFonts w:ascii="Times New Roman" w:hAnsi="Times New Roman" w:cs="Times New Roman"/>
        </w:rPr>
      </w:pPr>
      <w:r w:rsidRPr="003E0B87">
        <w:rPr>
          <w:rFonts w:ascii="Times New Roman" w:hAnsi="Times New Roman" w:cs="Times New Roman"/>
        </w:rPr>
        <w:t>Jim Bower</w:t>
      </w:r>
      <w:r w:rsidR="00183160" w:rsidRPr="003E0B87">
        <w:rPr>
          <w:rFonts w:ascii="Times New Roman" w:hAnsi="Times New Roman" w:cs="Times New Roman"/>
        </w:rPr>
        <w:tab/>
      </w:r>
      <w:r w:rsidR="00A50569" w:rsidRPr="003E0B87">
        <w:rPr>
          <w:rFonts w:ascii="Times New Roman" w:hAnsi="Times New Roman" w:cs="Times New Roman"/>
        </w:rPr>
        <w:tab/>
      </w:r>
      <w:r w:rsidR="00183160" w:rsidRPr="003E0B87">
        <w:rPr>
          <w:rFonts w:ascii="Times New Roman" w:hAnsi="Times New Roman" w:cs="Times New Roman"/>
        </w:rPr>
        <w:t>2</w:t>
      </w:r>
      <w:r w:rsidR="00183160" w:rsidRPr="003E0B87">
        <w:rPr>
          <w:rFonts w:ascii="Times New Roman" w:hAnsi="Times New Roman" w:cs="Times New Roman"/>
          <w:vertAlign w:val="superscript"/>
        </w:rPr>
        <w:t>nd</w:t>
      </w:r>
      <w:r w:rsidR="00183160" w:rsidRPr="003E0B87">
        <w:rPr>
          <w:rFonts w:ascii="Times New Roman" w:hAnsi="Times New Roman" w:cs="Times New Roman"/>
        </w:rPr>
        <w:t xml:space="preserve"> Labor Representative</w:t>
      </w:r>
      <w:r w:rsidR="00183160" w:rsidRPr="003E0B87">
        <w:rPr>
          <w:rFonts w:ascii="Times New Roman" w:hAnsi="Times New Roman" w:cs="Times New Roman"/>
        </w:rPr>
        <w:tab/>
      </w:r>
      <w:hyperlink r:id="rId27" w:history="1"/>
      <w:r w:rsidR="00A50569" w:rsidRPr="003E0B87">
        <w:rPr>
          <w:rStyle w:val="Hyperlink"/>
          <w:rFonts w:ascii="Times New Roman" w:hAnsi="Times New Roman" w:cs="Times New Roman"/>
        </w:rPr>
        <w:t xml:space="preserve"> </w:t>
      </w:r>
    </w:p>
    <w:p w:rsidR="003168E2" w:rsidRPr="003E0B87" w:rsidRDefault="003168E2" w:rsidP="00A50569">
      <w:pPr>
        <w:pStyle w:val="NoSpacing"/>
        <w:tabs>
          <w:tab w:val="left" w:pos="3330"/>
          <w:tab w:val="left" w:pos="4590"/>
          <w:tab w:val="left" w:pos="6660"/>
        </w:tabs>
        <w:ind w:right="-450"/>
        <w:rPr>
          <w:rFonts w:ascii="Times New Roman" w:hAnsi="Times New Roman" w:cs="Times New Roman"/>
        </w:rPr>
      </w:pPr>
      <w:r w:rsidRPr="003E0B87">
        <w:rPr>
          <w:rStyle w:val="Hyperlink"/>
          <w:rFonts w:ascii="Times New Roman" w:hAnsi="Times New Roman" w:cs="Times New Roman"/>
          <w:color w:val="auto"/>
          <w:u w:val="none"/>
        </w:rPr>
        <w:t>Olivia Hersey</w:t>
      </w:r>
      <w:r w:rsidRPr="003E0B87">
        <w:rPr>
          <w:rStyle w:val="Hyperlink"/>
          <w:rFonts w:ascii="Times New Roman" w:hAnsi="Times New Roman" w:cs="Times New Roman"/>
          <w:color w:val="auto"/>
          <w:u w:val="none"/>
        </w:rPr>
        <w:tab/>
      </w:r>
      <w:r w:rsidR="00A50569" w:rsidRPr="003E0B87">
        <w:rPr>
          <w:rStyle w:val="Hyperlink"/>
          <w:rFonts w:ascii="Times New Roman" w:hAnsi="Times New Roman" w:cs="Times New Roman"/>
          <w:color w:val="auto"/>
          <w:u w:val="none"/>
        </w:rPr>
        <w:tab/>
      </w:r>
      <w:r w:rsidRPr="003E0B87">
        <w:rPr>
          <w:rStyle w:val="Hyperlink"/>
          <w:rFonts w:ascii="Times New Roman" w:hAnsi="Times New Roman" w:cs="Times New Roman"/>
          <w:color w:val="auto"/>
          <w:u w:val="none"/>
        </w:rPr>
        <w:t>3</w:t>
      </w:r>
      <w:r w:rsidRPr="003E0B87">
        <w:rPr>
          <w:rStyle w:val="Hyperlink"/>
          <w:rFonts w:ascii="Times New Roman" w:hAnsi="Times New Roman" w:cs="Times New Roman"/>
          <w:color w:val="auto"/>
          <w:u w:val="none"/>
          <w:vertAlign w:val="superscript"/>
        </w:rPr>
        <w:t>rd</w:t>
      </w:r>
      <w:r w:rsidRPr="003E0B87">
        <w:rPr>
          <w:rStyle w:val="Hyperlink"/>
          <w:rFonts w:ascii="Times New Roman" w:hAnsi="Times New Roman" w:cs="Times New Roman"/>
          <w:color w:val="auto"/>
          <w:u w:val="none"/>
        </w:rPr>
        <w:t xml:space="preserve"> Labor Representative</w:t>
      </w:r>
    </w:p>
    <w:p w:rsidR="00183160" w:rsidRPr="003E0B87" w:rsidRDefault="00183160" w:rsidP="00183160">
      <w:pPr>
        <w:pStyle w:val="NoSpacing"/>
        <w:tabs>
          <w:tab w:val="left" w:pos="3330"/>
          <w:tab w:val="left" w:pos="6660"/>
        </w:tabs>
        <w:ind w:right="-450"/>
        <w:rPr>
          <w:rFonts w:ascii="Times New Roman" w:hAnsi="Times New Roman" w:cs="Times New Roman"/>
        </w:rPr>
      </w:pPr>
    </w:p>
    <w:p w:rsidR="00183160" w:rsidRPr="003E0B87" w:rsidRDefault="00183160" w:rsidP="00183160">
      <w:pPr>
        <w:pStyle w:val="NoSpacing"/>
        <w:tabs>
          <w:tab w:val="left" w:pos="3330"/>
          <w:tab w:val="left" w:pos="6660"/>
        </w:tabs>
        <w:ind w:left="360" w:right="-450"/>
        <w:rPr>
          <w:rFonts w:ascii="Times New Roman" w:hAnsi="Times New Roman" w:cs="Times New Roman"/>
        </w:rPr>
      </w:pPr>
    </w:p>
    <w:p w:rsidR="00183160" w:rsidRPr="003E0B87" w:rsidRDefault="00183160" w:rsidP="00183160">
      <w:pPr>
        <w:pStyle w:val="NoSpacing"/>
        <w:tabs>
          <w:tab w:val="left" w:pos="3330"/>
          <w:tab w:val="left" w:pos="6660"/>
        </w:tabs>
        <w:ind w:right="-450"/>
        <w:rPr>
          <w:rFonts w:ascii="Times New Roman" w:hAnsi="Times New Roman" w:cs="Times New Roman"/>
        </w:rPr>
      </w:pPr>
      <w:bookmarkStart w:id="1" w:name="OLE_LINK3"/>
      <w:bookmarkStart w:id="2" w:name="OLE_LINK4"/>
      <w:r w:rsidRPr="003E0B87">
        <w:rPr>
          <w:rFonts w:ascii="Times New Roman" w:hAnsi="Times New Roman" w:cs="Times New Roman"/>
        </w:rPr>
        <w:t>Consortium website</w:t>
      </w:r>
      <w:bookmarkEnd w:id="1"/>
      <w:bookmarkEnd w:id="2"/>
      <w:r w:rsidRPr="003E0B87">
        <w:rPr>
          <w:rFonts w:ascii="Times New Roman" w:hAnsi="Times New Roman" w:cs="Times New Roman"/>
        </w:rPr>
        <w:t xml:space="preserve">:  </w:t>
      </w:r>
      <w:hyperlink r:id="rId28" w:history="1">
        <w:r w:rsidRPr="003E0B87">
          <w:rPr>
            <w:rStyle w:val="Hyperlink"/>
            <w:rFonts w:ascii="Times New Roman" w:hAnsi="Times New Roman" w:cs="Times New Roman"/>
          </w:rPr>
          <w:t>www.tompkinscountyny.gov/hconsortium</w:t>
        </w:r>
      </w:hyperlink>
    </w:p>
    <w:p w:rsidR="00183160" w:rsidRPr="003E0B87" w:rsidRDefault="00183160" w:rsidP="00183160">
      <w:pPr>
        <w:pStyle w:val="NoSpacing"/>
        <w:tabs>
          <w:tab w:val="left" w:pos="3330"/>
          <w:tab w:val="left" w:pos="6660"/>
        </w:tabs>
        <w:ind w:right="-450"/>
        <w:rPr>
          <w:rFonts w:ascii="Times New Roman" w:hAnsi="Times New Roman" w:cs="Times New Roman"/>
        </w:rPr>
      </w:pPr>
      <w:r w:rsidRPr="003E0B87">
        <w:rPr>
          <w:rFonts w:ascii="Times New Roman" w:hAnsi="Times New Roman" w:cs="Times New Roman"/>
        </w:rPr>
        <w:t xml:space="preserve">Executive Director:  Don Barber – </w:t>
      </w:r>
      <w:hyperlink r:id="rId29" w:history="1">
        <w:r w:rsidR="00A50569" w:rsidRPr="003E0B87">
          <w:rPr>
            <w:rStyle w:val="Hyperlink"/>
            <w:rFonts w:ascii="Times New Roman" w:hAnsi="Times New Roman" w:cs="Times New Roman"/>
          </w:rPr>
          <w:t>edconsortium@tompkins-co.org</w:t>
        </w:r>
      </w:hyperlink>
    </w:p>
    <w:p w:rsidR="00B66A0B" w:rsidRPr="003E0B87" w:rsidRDefault="00183160" w:rsidP="00183160">
      <w:pPr>
        <w:pStyle w:val="NoSpacing"/>
        <w:tabs>
          <w:tab w:val="left" w:pos="3330"/>
          <w:tab w:val="left" w:pos="6660"/>
        </w:tabs>
        <w:ind w:right="-450"/>
        <w:rPr>
          <w:rFonts w:ascii="Times New Roman" w:hAnsi="Times New Roman" w:cs="Times New Roman"/>
        </w:rPr>
      </w:pPr>
      <w:r w:rsidRPr="003E0B87">
        <w:rPr>
          <w:rFonts w:ascii="Times New Roman" w:hAnsi="Times New Roman" w:cs="Times New Roman"/>
        </w:rPr>
        <w:t xml:space="preserve">Consortium e-mail:  </w:t>
      </w:r>
      <w:hyperlink r:id="rId30" w:history="1">
        <w:r w:rsidR="00A50569" w:rsidRPr="003E0B87">
          <w:rPr>
            <w:rStyle w:val="Hyperlink"/>
            <w:rFonts w:ascii="Times New Roman" w:hAnsi="Times New Roman" w:cs="Times New Roman"/>
          </w:rPr>
          <w:t>consortium@tompkins-co.org</w:t>
        </w:r>
      </w:hyperlink>
    </w:p>
    <w:p w:rsidR="006261D1" w:rsidRPr="003E0B87" w:rsidRDefault="006261D1" w:rsidP="00183160">
      <w:pPr>
        <w:pStyle w:val="NoSpacing"/>
        <w:tabs>
          <w:tab w:val="left" w:pos="3330"/>
          <w:tab w:val="left" w:pos="6660"/>
        </w:tabs>
        <w:ind w:right="-450"/>
        <w:rPr>
          <w:rStyle w:val="Hyperlink"/>
          <w:rFonts w:ascii="Times New Roman" w:hAnsi="Times New Roman" w:cs="Times New Roman"/>
          <w:color w:val="auto"/>
          <w:u w:val="none"/>
        </w:rPr>
      </w:pPr>
    </w:p>
    <w:p w:rsidR="00B96052" w:rsidRPr="003E0B87" w:rsidRDefault="00B96052" w:rsidP="00183160">
      <w:pPr>
        <w:pStyle w:val="NoSpacing"/>
        <w:tabs>
          <w:tab w:val="left" w:pos="3330"/>
          <w:tab w:val="left" w:pos="6660"/>
        </w:tabs>
        <w:ind w:right="-450"/>
        <w:rPr>
          <w:rStyle w:val="Hyperlink"/>
          <w:rFonts w:ascii="Times New Roman" w:hAnsi="Times New Roman" w:cs="Times New Roman"/>
          <w:color w:val="auto"/>
          <w:u w:val="none"/>
        </w:rPr>
      </w:pPr>
      <w:r w:rsidRPr="003E0B87">
        <w:rPr>
          <w:rStyle w:val="Hyperlink"/>
          <w:rFonts w:ascii="Times New Roman" w:hAnsi="Times New Roman" w:cs="Times New Roman"/>
          <w:color w:val="auto"/>
          <w:u w:val="none"/>
        </w:rPr>
        <w:t>Respectfully submitted:</w:t>
      </w:r>
    </w:p>
    <w:p w:rsidR="006261D1" w:rsidRPr="003E0B87" w:rsidRDefault="006261D1" w:rsidP="00183160">
      <w:pPr>
        <w:pStyle w:val="NoSpacing"/>
        <w:tabs>
          <w:tab w:val="left" w:pos="3330"/>
          <w:tab w:val="left" w:pos="6660"/>
        </w:tabs>
        <w:ind w:right="-450"/>
        <w:rPr>
          <w:rStyle w:val="Hyperlink"/>
          <w:rFonts w:ascii="Times New Roman" w:hAnsi="Times New Roman" w:cs="Times New Roman"/>
          <w:color w:val="auto"/>
          <w:u w:val="none"/>
        </w:rPr>
      </w:pPr>
    </w:p>
    <w:p w:rsidR="00B96052" w:rsidRPr="003E0B87" w:rsidRDefault="00B96052" w:rsidP="00183160">
      <w:pPr>
        <w:pStyle w:val="NoSpacing"/>
        <w:tabs>
          <w:tab w:val="left" w:pos="3330"/>
          <w:tab w:val="left" w:pos="6660"/>
        </w:tabs>
        <w:ind w:right="-450"/>
        <w:rPr>
          <w:rStyle w:val="Hyperlink"/>
          <w:rFonts w:ascii="Times New Roman" w:hAnsi="Times New Roman" w:cs="Times New Roman"/>
          <w:color w:val="auto"/>
          <w:u w:val="none"/>
        </w:rPr>
      </w:pPr>
      <w:r w:rsidRPr="003E0B87">
        <w:rPr>
          <w:rStyle w:val="Hyperlink"/>
          <w:rFonts w:ascii="Times New Roman" w:hAnsi="Times New Roman" w:cs="Times New Roman"/>
          <w:color w:val="auto"/>
          <w:u w:val="none"/>
        </w:rPr>
        <w:tab/>
        <w:t>Judy Drake</w:t>
      </w:r>
      <w:r w:rsidRPr="003E0B87">
        <w:rPr>
          <w:rStyle w:val="Hyperlink"/>
          <w:rFonts w:ascii="Times New Roman" w:hAnsi="Times New Roman" w:cs="Times New Roman"/>
          <w:color w:val="auto"/>
          <w:u w:val="none"/>
        </w:rPr>
        <w:tab/>
      </w:r>
      <w:r w:rsidRPr="003E0B87">
        <w:rPr>
          <w:rStyle w:val="Hyperlink"/>
          <w:rFonts w:ascii="Times New Roman" w:hAnsi="Times New Roman" w:cs="Times New Roman"/>
          <w:color w:val="auto"/>
          <w:u w:val="none"/>
        </w:rPr>
        <w:tab/>
        <w:t>Don Barber</w:t>
      </w:r>
    </w:p>
    <w:p w:rsidR="00B96052" w:rsidRPr="003E0B87" w:rsidRDefault="00B96052" w:rsidP="00183160">
      <w:pPr>
        <w:pStyle w:val="NoSpacing"/>
        <w:tabs>
          <w:tab w:val="left" w:pos="3330"/>
          <w:tab w:val="left" w:pos="6660"/>
        </w:tabs>
        <w:ind w:right="-450"/>
        <w:rPr>
          <w:rFonts w:ascii="Times New Roman" w:hAnsi="Times New Roman" w:cs="Times New Roman"/>
        </w:rPr>
      </w:pPr>
      <w:r w:rsidRPr="003E0B87">
        <w:rPr>
          <w:rStyle w:val="Hyperlink"/>
          <w:rFonts w:ascii="Times New Roman" w:hAnsi="Times New Roman" w:cs="Times New Roman"/>
          <w:color w:val="auto"/>
          <w:u w:val="none"/>
        </w:rPr>
        <w:tab/>
        <w:t>Chair of Board of Directors</w:t>
      </w:r>
      <w:r w:rsidRPr="003E0B87">
        <w:rPr>
          <w:rStyle w:val="Hyperlink"/>
          <w:rFonts w:ascii="Times New Roman" w:hAnsi="Times New Roman" w:cs="Times New Roman"/>
          <w:color w:val="auto"/>
          <w:u w:val="none"/>
        </w:rPr>
        <w:tab/>
      </w:r>
      <w:r w:rsidRPr="003E0B87">
        <w:rPr>
          <w:rStyle w:val="Hyperlink"/>
          <w:rFonts w:ascii="Times New Roman" w:hAnsi="Times New Roman" w:cs="Times New Roman"/>
          <w:color w:val="auto"/>
          <w:u w:val="none"/>
        </w:rPr>
        <w:tab/>
        <w:t>Executive Director</w:t>
      </w:r>
    </w:p>
    <w:sectPr w:rsidR="00B96052" w:rsidRPr="003E0B87" w:rsidSect="00636F0E">
      <w:headerReference w:type="default" r:id="rId31"/>
      <w:footerReference w:type="default" r:id="rId32"/>
      <w:headerReference w:type="first" r:id="rId33"/>
      <w:pgSz w:w="12240" w:h="15840"/>
      <w:pgMar w:top="1440" w:right="1170" w:bottom="63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77" w:rsidRDefault="00021B77" w:rsidP="00E66106">
      <w:pPr>
        <w:spacing w:after="0" w:line="240" w:lineRule="auto"/>
      </w:pPr>
      <w:r>
        <w:separator/>
      </w:r>
    </w:p>
  </w:endnote>
  <w:endnote w:type="continuationSeparator" w:id="0">
    <w:p w:rsidR="00021B77" w:rsidRDefault="00021B77" w:rsidP="00E6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6983"/>
      <w:docPartObj>
        <w:docPartGallery w:val="Page Numbers (Bottom of Page)"/>
        <w:docPartUnique/>
      </w:docPartObj>
    </w:sdtPr>
    <w:sdtEndPr>
      <w:rPr>
        <w:noProof/>
      </w:rPr>
    </w:sdtEndPr>
    <w:sdtContent>
      <w:p w:rsidR="00B66A0B" w:rsidRDefault="00B66A0B">
        <w:pPr>
          <w:pStyle w:val="Footer"/>
          <w:jc w:val="center"/>
        </w:pPr>
        <w:r>
          <w:fldChar w:fldCharType="begin"/>
        </w:r>
        <w:r>
          <w:instrText xml:space="preserve"> PAGE   \* MERGEFORMAT </w:instrText>
        </w:r>
        <w:r>
          <w:fldChar w:fldCharType="separate"/>
        </w:r>
        <w:r w:rsidR="007C687D">
          <w:rPr>
            <w:noProof/>
          </w:rPr>
          <w:t>2</w:t>
        </w:r>
        <w:r>
          <w:rPr>
            <w:noProof/>
          </w:rPr>
          <w:fldChar w:fldCharType="end"/>
        </w:r>
      </w:p>
    </w:sdtContent>
  </w:sdt>
  <w:p w:rsidR="00B66A0B" w:rsidRDefault="00B6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77" w:rsidRDefault="00021B77" w:rsidP="00E66106">
      <w:pPr>
        <w:spacing w:after="0" w:line="240" w:lineRule="auto"/>
      </w:pPr>
      <w:r>
        <w:separator/>
      </w:r>
    </w:p>
  </w:footnote>
  <w:footnote w:type="continuationSeparator" w:id="0">
    <w:p w:rsidR="00021B77" w:rsidRDefault="00021B77" w:rsidP="00E66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06" w:rsidRPr="00E66106" w:rsidRDefault="00E66106">
    <w:pPr>
      <w:pStyle w:val="Header"/>
      <w:rPr>
        <w:rFonts w:ascii="Times New Roman" w:hAnsi="Times New Roman" w:cs="Times New Roman"/>
      </w:rPr>
    </w:pPr>
    <w:r w:rsidRPr="00E66106">
      <w:rPr>
        <w:rFonts w:ascii="Times New Roman" w:hAnsi="Times New Roman" w:cs="Times New Roman"/>
      </w:rPr>
      <w:t>Greater Tompkins County Municipal Health Insurance Consortium</w:t>
    </w:r>
  </w:p>
  <w:p w:rsidR="00E66106" w:rsidRPr="00E66106" w:rsidRDefault="00E66106">
    <w:pPr>
      <w:pStyle w:val="Header"/>
      <w:rPr>
        <w:rFonts w:ascii="Times New Roman" w:hAnsi="Times New Roman" w:cs="Times New Roman"/>
      </w:rPr>
    </w:pPr>
    <w:r w:rsidRPr="00E66106">
      <w:rPr>
        <w:rFonts w:ascii="Times New Roman" w:hAnsi="Times New Roman" w:cs="Times New Roman"/>
      </w:rPr>
      <w:t>201</w:t>
    </w:r>
    <w:r w:rsidR="00673D42">
      <w:rPr>
        <w:rFonts w:ascii="Times New Roman" w:hAnsi="Times New Roman" w:cs="Times New Roman"/>
      </w:rPr>
      <w:t>5</w:t>
    </w:r>
    <w:r w:rsidRPr="00E66106">
      <w:rPr>
        <w:rFonts w:ascii="Times New Roman" w:hAnsi="Times New Roman" w:cs="Times New Roman"/>
      </w:rPr>
      <w:t xml:space="preserve"> Annual Report</w:t>
    </w:r>
    <w:r>
      <w:rPr>
        <w:rFonts w:ascii="Times New Roman" w:hAnsi="Times New Roman" w:cs="Times New Roman"/>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06" w:rsidRDefault="00636F0E" w:rsidP="00636F0E">
    <w:pPr>
      <w:pStyle w:val="Header"/>
      <w:ind w:left="-900"/>
    </w:pPr>
    <w:r w:rsidRPr="00D768FD">
      <w:rPr>
        <w:noProof/>
      </w:rPr>
      <w:drawing>
        <wp:inline distT="0" distB="0" distL="0" distR="0">
          <wp:extent cx="7017492" cy="1233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3607" b="78079"/>
                  <a:stretch>
                    <a:fillRect/>
                  </a:stretch>
                </pic:blipFill>
                <pic:spPr bwMode="auto">
                  <a:xfrm>
                    <a:off x="0" y="0"/>
                    <a:ext cx="7049523" cy="12394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D68"/>
    <w:multiLevelType w:val="hybridMultilevel"/>
    <w:tmpl w:val="3FFE6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3F4CDC"/>
    <w:multiLevelType w:val="hybridMultilevel"/>
    <w:tmpl w:val="72EA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E6A5A"/>
    <w:multiLevelType w:val="hybridMultilevel"/>
    <w:tmpl w:val="B952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F366F"/>
    <w:multiLevelType w:val="hybridMultilevel"/>
    <w:tmpl w:val="1CAE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534A8"/>
    <w:multiLevelType w:val="hybridMultilevel"/>
    <w:tmpl w:val="8D0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507B6"/>
    <w:multiLevelType w:val="hybridMultilevel"/>
    <w:tmpl w:val="F85689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DF"/>
    <w:rsid w:val="000009E1"/>
    <w:rsid w:val="00006187"/>
    <w:rsid w:val="000104DF"/>
    <w:rsid w:val="000217FF"/>
    <w:rsid w:val="00021930"/>
    <w:rsid w:val="00021A56"/>
    <w:rsid w:val="00021B77"/>
    <w:rsid w:val="00025D9F"/>
    <w:rsid w:val="00027DAB"/>
    <w:rsid w:val="000313FE"/>
    <w:rsid w:val="0003530A"/>
    <w:rsid w:val="000429EF"/>
    <w:rsid w:val="00045482"/>
    <w:rsid w:val="00054EBF"/>
    <w:rsid w:val="00060378"/>
    <w:rsid w:val="00061C78"/>
    <w:rsid w:val="0006336A"/>
    <w:rsid w:val="00063DCA"/>
    <w:rsid w:val="00064D25"/>
    <w:rsid w:val="00066D1B"/>
    <w:rsid w:val="00071AE3"/>
    <w:rsid w:val="00075B9F"/>
    <w:rsid w:val="00082051"/>
    <w:rsid w:val="000915AA"/>
    <w:rsid w:val="00094573"/>
    <w:rsid w:val="0009460C"/>
    <w:rsid w:val="000A0EDE"/>
    <w:rsid w:val="000B4259"/>
    <w:rsid w:val="000B4882"/>
    <w:rsid w:val="000B7760"/>
    <w:rsid w:val="000C0D3F"/>
    <w:rsid w:val="000C1A98"/>
    <w:rsid w:val="000D1F08"/>
    <w:rsid w:val="000D401A"/>
    <w:rsid w:val="000D5A6E"/>
    <w:rsid w:val="000E5D61"/>
    <w:rsid w:val="000F18DC"/>
    <w:rsid w:val="000F7467"/>
    <w:rsid w:val="00100461"/>
    <w:rsid w:val="00105D60"/>
    <w:rsid w:val="001077BD"/>
    <w:rsid w:val="00117EDD"/>
    <w:rsid w:val="00122E89"/>
    <w:rsid w:val="001245AA"/>
    <w:rsid w:val="0012659B"/>
    <w:rsid w:val="00127557"/>
    <w:rsid w:val="00134EE2"/>
    <w:rsid w:val="00141369"/>
    <w:rsid w:val="00151E80"/>
    <w:rsid w:val="00160DA3"/>
    <w:rsid w:val="00163990"/>
    <w:rsid w:val="00170F18"/>
    <w:rsid w:val="001743DB"/>
    <w:rsid w:val="00177714"/>
    <w:rsid w:val="001777EB"/>
    <w:rsid w:val="00180C48"/>
    <w:rsid w:val="00183160"/>
    <w:rsid w:val="00183347"/>
    <w:rsid w:val="00184BAB"/>
    <w:rsid w:val="00185D49"/>
    <w:rsid w:val="001938B0"/>
    <w:rsid w:val="00195AB6"/>
    <w:rsid w:val="00197855"/>
    <w:rsid w:val="001A25ED"/>
    <w:rsid w:val="001A2895"/>
    <w:rsid w:val="001A2B41"/>
    <w:rsid w:val="001A32B4"/>
    <w:rsid w:val="001A6E1E"/>
    <w:rsid w:val="001C51ED"/>
    <w:rsid w:val="001C5CD8"/>
    <w:rsid w:val="001D1B0F"/>
    <w:rsid w:val="001D226E"/>
    <w:rsid w:val="001E1E3A"/>
    <w:rsid w:val="001E44E6"/>
    <w:rsid w:val="001F4075"/>
    <w:rsid w:val="001F64FA"/>
    <w:rsid w:val="00201C2E"/>
    <w:rsid w:val="00202A79"/>
    <w:rsid w:val="00207DCD"/>
    <w:rsid w:val="00210BAD"/>
    <w:rsid w:val="00213A05"/>
    <w:rsid w:val="002169CA"/>
    <w:rsid w:val="002228A7"/>
    <w:rsid w:val="00226D57"/>
    <w:rsid w:val="00226F71"/>
    <w:rsid w:val="00227047"/>
    <w:rsid w:val="002273F5"/>
    <w:rsid w:val="00233327"/>
    <w:rsid w:val="002353F8"/>
    <w:rsid w:val="00242122"/>
    <w:rsid w:val="00251841"/>
    <w:rsid w:val="0025264E"/>
    <w:rsid w:val="00262423"/>
    <w:rsid w:val="002678BB"/>
    <w:rsid w:val="002678FA"/>
    <w:rsid w:val="0027024F"/>
    <w:rsid w:val="002733A9"/>
    <w:rsid w:val="002735B6"/>
    <w:rsid w:val="0027386C"/>
    <w:rsid w:val="002801E2"/>
    <w:rsid w:val="002820C7"/>
    <w:rsid w:val="002A207B"/>
    <w:rsid w:val="002A4720"/>
    <w:rsid w:val="002A4BC7"/>
    <w:rsid w:val="002B7089"/>
    <w:rsid w:val="002C0B44"/>
    <w:rsid w:val="002C551F"/>
    <w:rsid w:val="002D08C5"/>
    <w:rsid w:val="002D28E7"/>
    <w:rsid w:val="002E4739"/>
    <w:rsid w:val="002E6BC2"/>
    <w:rsid w:val="002E7137"/>
    <w:rsid w:val="002F1414"/>
    <w:rsid w:val="003009C6"/>
    <w:rsid w:val="003023F9"/>
    <w:rsid w:val="003054AE"/>
    <w:rsid w:val="0031541F"/>
    <w:rsid w:val="003168E2"/>
    <w:rsid w:val="00316EFA"/>
    <w:rsid w:val="00325DE4"/>
    <w:rsid w:val="00326B08"/>
    <w:rsid w:val="00330917"/>
    <w:rsid w:val="00337A48"/>
    <w:rsid w:val="00342BEB"/>
    <w:rsid w:val="00351BF0"/>
    <w:rsid w:val="003615F8"/>
    <w:rsid w:val="003618B6"/>
    <w:rsid w:val="00363DAF"/>
    <w:rsid w:val="00366175"/>
    <w:rsid w:val="00366639"/>
    <w:rsid w:val="0037440B"/>
    <w:rsid w:val="003760A8"/>
    <w:rsid w:val="00380B2D"/>
    <w:rsid w:val="00390F96"/>
    <w:rsid w:val="00391980"/>
    <w:rsid w:val="00394F36"/>
    <w:rsid w:val="003A2733"/>
    <w:rsid w:val="003A76A2"/>
    <w:rsid w:val="003C1E18"/>
    <w:rsid w:val="003C3FE0"/>
    <w:rsid w:val="003C40AB"/>
    <w:rsid w:val="003D737F"/>
    <w:rsid w:val="003E0B87"/>
    <w:rsid w:val="003E6681"/>
    <w:rsid w:val="003E6C2E"/>
    <w:rsid w:val="003F0E94"/>
    <w:rsid w:val="003F4169"/>
    <w:rsid w:val="00411778"/>
    <w:rsid w:val="0042166D"/>
    <w:rsid w:val="00422BC4"/>
    <w:rsid w:val="00432170"/>
    <w:rsid w:val="00433871"/>
    <w:rsid w:val="00434AF3"/>
    <w:rsid w:val="0043713F"/>
    <w:rsid w:val="00444E16"/>
    <w:rsid w:val="004451F6"/>
    <w:rsid w:val="00447DBF"/>
    <w:rsid w:val="0045694D"/>
    <w:rsid w:val="004628A9"/>
    <w:rsid w:val="004821E9"/>
    <w:rsid w:val="004843D8"/>
    <w:rsid w:val="00491D53"/>
    <w:rsid w:val="004940D0"/>
    <w:rsid w:val="004A0405"/>
    <w:rsid w:val="004A0FC0"/>
    <w:rsid w:val="004A3C58"/>
    <w:rsid w:val="004A4C78"/>
    <w:rsid w:val="004A69CF"/>
    <w:rsid w:val="004C5D31"/>
    <w:rsid w:val="004C7D38"/>
    <w:rsid w:val="004D253E"/>
    <w:rsid w:val="004E4BCF"/>
    <w:rsid w:val="004F0CCA"/>
    <w:rsid w:val="004F2A54"/>
    <w:rsid w:val="004F4159"/>
    <w:rsid w:val="004F41E6"/>
    <w:rsid w:val="004F499F"/>
    <w:rsid w:val="004F7D3A"/>
    <w:rsid w:val="004F7E9B"/>
    <w:rsid w:val="0050008D"/>
    <w:rsid w:val="00501AE6"/>
    <w:rsid w:val="00501CFF"/>
    <w:rsid w:val="00506574"/>
    <w:rsid w:val="005118DB"/>
    <w:rsid w:val="00512BFD"/>
    <w:rsid w:val="005139EA"/>
    <w:rsid w:val="00520079"/>
    <w:rsid w:val="00520D82"/>
    <w:rsid w:val="00522FE3"/>
    <w:rsid w:val="00527E7A"/>
    <w:rsid w:val="00527F08"/>
    <w:rsid w:val="00530AA9"/>
    <w:rsid w:val="00532AC4"/>
    <w:rsid w:val="005345FD"/>
    <w:rsid w:val="00550177"/>
    <w:rsid w:val="00551FA1"/>
    <w:rsid w:val="00554D54"/>
    <w:rsid w:val="00557FA4"/>
    <w:rsid w:val="005604A7"/>
    <w:rsid w:val="005651A4"/>
    <w:rsid w:val="00565D4A"/>
    <w:rsid w:val="00567E6D"/>
    <w:rsid w:val="00570653"/>
    <w:rsid w:val="00572063"/>
    <w:rsid w:val="005836C7"/>
    <w:rsid w:val="00587286"/>
    <w:rsid w:val="00590CFF"/>
    <w:rsid w:val="00591ED8"/>
    <w:rsid w:val="005934E3"/>
    <w:rsid w:val="0059747D"/>
    <w:rsid w:val="005A47C4"/>
    <w:rsid w:val="005A5816"/>
    <w:rsid w:val="005B2958"/>
    <w:rsid w:val="005B5EBD"/>
    <w:rsid w:val="005C3F00"/>
    <w:rsid w:val="005E29DA"/>
    <w:rsid w:val="005F1C69"/>
    <w:rsid w:val="005F2F2D"/>
    <w:rsid w:val="005F3A19"/>
    <w:rsid w:val="006001A4"/>
    <w:rsid w:val="006057FA"/>
    <w:rsid w:val="006064DA"/>
    <w:rsid w:val="00612021"/>
    <w:rsid w:val="00612E37"/>
    <w:rsid w:val="00620FD5"/>
    <w:rsid w:val="006221B8"/>
    <w:rsid w:val="0062357F"/>
    <w:rsid w:val="006258F5"/>
    <w:rsid w:val="00625C1C"/>
    <w:rsid w:val="006261D1"/>
    <w:rsid w:val="00636F0E"/>
    <w:rsid w:val="006377CE"/>
    <w:rsid w:val="006404FD"/>
    <w:rsid w:val="006554ED"/>
    <w:rsid w:val="00657286"/>
    <w:rsid w:val="006601C3"/>
    <w:rsid w:val="00664262"/>
    <w:rsid w:val="00666529"/>
    <w:rsid w:val="006701D2"/>
    <w:rsid w:val="00673CA0"/>
    <w:rsid w:val="00673D42"/>
    <w:rsid w:val="00676ABF"/>
    <w:rsid w:val="00680A4E"/>
    <w:rsid w:val="00681E59"/>
    <w:rsid w:val="0068236E"/>
    <w:rsid w:val="006A0EF8"/>
    <w:rsid w:val="006A7D9E"/>
    <w:rsid w:val="006B0C33"/>
    <w:rsid w:val="006B19D5"/>
    <w:rsid w:val="006B66C4"/>
    <w:rsid w:val="006C3E5D"/>
    <w:rsid w:val="006C7096"/>
    <w:rsid w:val="006D1452"/>
    <w:rsid w:val="006D5A7C"/>
    <w:rsid w:val="006E06BC"/>
    <w:rsid w:val="006E6844"/>
    <w:rsid w:val="006F1A88"/>
    <w:rsid w:val="006F5E3D"/>
    <w:rsid w:val="007005BF"/>
    <w:rsid w:val="0070223F"/>
    <w:rsid w:val="0070629A"/>
    <w:rsid w:val="00720E69"/>
    <w:rsid w:val="00722CE1"/>
    <w:rsid w:val="00724047"/>
    <w:rsid w:val="007272B6"/>
    <w:rsid w:val="00736FE6"/>
    <w:rsid w:val="007445EF"/>
    <w:rsid w:val="00745414"/>
    <w:rsid w:val="00750060"/>
    <w:rsid w:val="0075020F"/>
    <w:rsid w:val="00754594"/>
    <w:rsid w:val="00754DFA"/>
    <w:rsid w:val="007653AA"/>
    <w:rsid w:val="00770427"/>
    <w:rsid w:val="00772962"/>
    <w:rsid w:val="00775729"/>
    <w:rsid w:val="00782571"/>
    <w:rsid w:val="0078340C"/>
    <w:rsid w:val="0078348F"/>
    <w:rsid w:val="00784463"/>
    <w:rsid w:val="00784C67"/>
    <w:rsid w:val="00790424"/>
    <w:rsid w:val="00791683"/>
    <w:rsid w:val="00793A30"/>
    <w:rsid w:val="00793E51"/>
    <w:rsid w:val="007A071F"/>
    <w:rsid w:val="007A1459"/>
    <w:rsid w:val="007B0271"/>
    <w:rsid w:val="007B08D3"/>
    <w:rsid w:val="007B35EF"/>
    <w:rsid w:val="007C2477"/>
    <w:rsid w:val="007C2E0D"/>
    <w:rsid w:val="007C687D"/>
    <w:rsid w:val="007E3014"/>
    <w:rsid w:val="007E39AE"/>
    <w:rsid w:val="007E557E"/>
    <w:rsid w:val="007E70FF"/>
    <w:rsid w:val="007F0344"/>
    <w:rsid w:val="007F41A2"/>
    <w:rsid w:val="00800EA0"/>
    <w:rsid w:val="00803ADF"/>
    <w:rsid w:val="00804108"/>
    <w:rsid w:val="0081258D"/>
    <w:rsid w:val="00820F6F"/>
    <w:rsid w:val="008214A2"/>
    <w:rsid w:val="008227AB"/>
    <w:rsid w:val="00824F44"/>
    <w:rsid w:val="008315CA"/>
    <w:rsid w:val="00833AB5"/>
    <w:rsid w:val="00837389"/>
    <w:rsid w:val="00844D79"/>
    <w:rsid w:val="008518E5"/>
    <w:rsid w:val="00857F82"/>
    <w:rsid w:val="008608F6"/>
    <w:rsid w:val="00864F4D"/>
    <w:rsid w:val="008748A1"/>
    <w:rsid w:val="00887575"/>
    <w:rsid w:val="00892C02"/>
    <w:rsid w:val="00892E80"/>
    <w:rsid w:val="008971D3"/>
    <w:rsid w:val="008A550F"/>
    <w:rsid w:val="008B2F7B"/>
    <w:rsid w:val="008B7970"/>
    <w:rsid w:val="008C314C"/>
    <w:rsid w:val="008C3D36"/>
    <w:rsid w:val="008C558E"/>
    <w:rsid w:val="008D1BC7"/>
    <w:rsid w:val="008D5CFF"/>
    <w:rsid w:val="008E2784"/>
    <w:rsid w:val="008E4053"/>
    <w:rsid w:val="008F09E1"/>
    <w:rsid w:val="008F1ADA"/>
    <w:rsid w:val="008F6FA5"/>
    <w:rsid w:val="0090434D"/>
    <w:rsid w:val="009104F6"/>
    <w:rsid w:val="00911C8A"/>
    <w:rsid w:val="00912412"/>
    <w:rsid w:val="00915F3B"/>
    <w:rsid w:val="009161CF"/>
    <w:rsid w:val="00926807"/>
    <w:rsid w:val="009317CA"/>
    <w:rsid w:val="00937116"/>
    <w:rsid w:val="00937C77"/>
    <w:rsid w:val="009446CA"/>
    <w:rsid w:val="0095410E"/>
    <w:rsid w:val="0095773C"/>
    <w:rsid w:val="009625F4"/>
    <w:rsid w:val="00964F84"/>
    <w:rsid w:val="0096713D"/>
    <w:rsid w:val="00970F23"/>
    <w:rsid w:val="0099448A"/>
    <w:rsid w:val="00994CC0"/>
    <w:rsid w:val="0099671F"/>
    <w:rsid w:val="0099675B"/>
    <w:rsid w:val="00996F5C"/>
    <w:rsid w:val="009A0881"/>
    <w:rsid w:val="009A437D"/>
    <w:rsid w:val="009B4FDF"/>
    <w:rsid w:val="009C1274"/>
    <w:rsid w:val="009C2E62"/>
    <w:rsid w:val="009C2F73"/>
    <w:rsid w:val="009D1112"/>
    <w:rsid w:val="009D1C6F"/>
    <w:rsid w:val="009D3A59"/>
    <w:rsid w:val="009D6FC4"/>
    <w:rsid w:val="009E22EF"/>
    <w:rsid w:val="009E49D8"/>
    <w:rsid w:val="009E6150"/>
    <w:rsid w:val="009E79C7"/>
    <w:rsid w:val="009F25D9"/>
    <w:rsid w:val="00A0201A"/>
    <w:rsid w:val="00A02220"/>
    <w:rsid w:val="00A07C19"/>
    <w:rsid w:val="00A122CA"/>
    <w:rsid w:val="00A14E97"/>
    <w:rsid w:val="00A20D2A"/>
    <w:rsid w:val="00A25DC2"/>
    <w:rsid w:val="00A27E32"/>
    <w:rsid w:val="00A30F30"/>
    <w:rsid w:val="00A32F08"/>
    <w:rsid w:val="00A45F24"/>
    <w:rsid w:val="00A47259"/>
    <w:rsid w:val="00A50569"/>
    <w:rsid w:val="00A525DA"/>
    <w:rsid w:val="00A570F6"/>
    <w:rsid w:val="00A65650"/>
    <w:rsid w:val="00A65FE5"/>
    <w:rsid w:val="00A70306"/>
    <w:rsid w:val="00A754B8"/>
    <w:rsid w:val="00A811D1"/>
    <w:rsid w:val="00A83BDF"/>
    <w:rsid w:val="00A85871"/>
    <w:rsid w:val="00A8741F"/>
    <w:rsid w:val="00A91277"/>
    <w:rsid w:val="00A9186D"/>
    <w:rsid w:val="00A93C1F"/>
    <w:rsid w:val="00A94E02"/>
    <w:rsid w:val="00AA53E8"/>
    <w:rsid w:val="00AB33AE"/>
    <w:rsid w:val="00AC1424"/>
    <w:rsid w:val="00AC2C09"/>
    <w:rsid w:val="00AD47A5"/>
    <w:rsid w:val="00AE2C14"/>
    <w:rsid w:val="00AE3C00"/>
    <w:rsid w:val="00AE434D"/>
    <w:rsid w:val="00AE786E"/>
    <w:rsid w:val="00AE7920"/>
    <w:rsid w:val="00AF4D6D"/>
    <w:rsid w:val="00AF687E"/>
    <w:rsid w:val="00B0218F"/>
    <w:rsid w:val="00B03568"/>
    <w:rsid w:val="00B035DC"/>
    <w:rsid w:val="00B06B99"/>
    <w:rsid w:val="00B077EF"/>
    <w:rsid w:val="00B10994"/>
    <w:rsid w:val="00B11137"/>
    <w:rsid w:val="00B14BF5"/>
    <w:rsid w:val="00B16C82"/>
    <w:rsid w:val="00B2231E"/>
    <w:rsid w:val="00B2445C"/>
    <w:rsid w:val="00B26247"/>
    <w:rsid w:val="00B27F69"/>
    <w:rsid w:val="00B356A6"/>
    <w:rsid w:val="00B46D2F"/>
    <w:rsid w:val="00B53CE7"/>
    <w:rsid w:val="00B55734"/>
    <w:rsid w:val="00B61178"/>
    <w:rsid w:val="00B66A0B"/>
    <w:rsid w:val="00B7541F"/>
    <w:rsid w:val="00B803EB"/>
    <w:rsid w:val="00B9168B"/>
    <w:rsid w:val="00B96052"/>
    <w:rsid w:val="00B9730F"/>
    <w:rsid w:val="00B97688"/>
    <w:rsid w:val="00BA7C59"/>
    <w:rsid w:val="00BB05CF"/>
    <w:rsid w:val="00BB31B0"/>
    <w:rsid w:val="00BB386F"/>
    <w:rsid w:val="00BB38EB"/>
    <w:rsid w:val="00BB6907"/>
    <w:rsid w:val="00BC1E88"/>
    <w:rsid w:val="00BD1517"/>
    <w:rsid w:val="00BD2795"/>
    <w:rsid w:val="00BD3245"/>
    <w:rsid w:val="00BD727E"/>
    <w:rsid w:val="00BE119A"/>
    <w:rsid w:val="00BE408B"/>
    <w:rsid w:val="00BE6110"/>
    <w:rsid w:val="00BE778B"/>
    <w:rsid w:val="00BF1BEC"/>
    <w:rsid w:val="00BF373E"/>
    <w:rsid w:val="00BF5A32"/>
    <w:rsid w:val="00C066F9"/>
    <w:rsid w:val="00C07427"/>
    <w:rsid w:val="00C25A11"/>
    <w:rsid w:val="00C26C70"/>
    <w:rsid w:val="00C30D4B"/>
    <w:rsid w:val="00C4219F"/>
    <w:rsid w:val="00C42EA3"/>
    <w:rsid w:val="00C47CC0"/>
    <w:rsid w:val="00C5559B"/>
    <w:rsid w:val="00C56AA6"/>
    <w:rsid w:val="00C60BBA"/>
    <w:rsid w:val="00C7557C"/>
    <w:rsid w:val="00C80BFC"/>
    <w:rsid w:val="00C9547D"/>
    <w:rsid w:val="00C96315"/>
    <w:rsid w:val="00CA32B7"/>
    <w:rsid w:val="00CA4CB2"/>
    <w:rsid w:val="00CA62DB"/>
    <w:rsid w:val="00CA6D1D"/>
    <w:rsid w:val="00CC04DF"/>
    <w:rsid w:val="00CC27F4"/>
    <w:rsid w:val="00CC6534"/>
    <w:rsid w:val="00CD0F6B"/>
    <w:rsid w:val="00CD476E"/>
    <w:rsid w:val="00CF3DC2"/>
    <w:rsid w:val="00CF4603"/>
    <w:rsid w:val="00D07F8E"/>
    <w:rsid w:val="00D167D2"/>
    <w:rsid w:val="00D16835"/>
    <w:rsid w:val="00D226EA"/>
    <w:rsid w:val="00D26BC3"/>
    <w:rsid w:val="00D34A8C"/>
    <w:rsid w:val="00D5691A"/>
    <w:rsid w:val="00D639DC"/>
    <w:rsid w:val="00D715BE"/>
    <w:rsid w:val="00D75D1F"/>
    <w:rsid w:val="00D805CE"/>
    <w:rsid w:val="00D83981"/>
    <w:rsid w:val="00D83ADE"/>
    <w:rsid w:val="00D92C7E"/>
    <w:rsid w:val="00D93ADE"/>
    <w:rsid w:val="00D96A7F"/>
    <w:rsid w:val="00DA111D"/>
    <w:rsid w:val="00DA5AC1"/>
    <w:rsid w:val="00DA61A3"/>
    <w:rsid w:val="00DB11B7"/>
    <w:rsid w:val="00DB1E44"/>
    <w:rsid w:val="00DB23F0"/>
    <w:rsid w:val="00DB24EB"/>
    <w:rsid w:val="00DC0783"/>
    <w:rsid w:val="00DC19C3"/>
    <w:rsid w:val="00DC64A4"/>
    <w:rsid w:val="00DC6F47"/>
    <w:rsid w:val="00DD5BA2"/>
    <w:rsid w:val="00DE52F5"/>
    <w:rsid w:val="00DE60D8"/>
    <w:rsid w:val="00DF453A"/>
    <w:rsid w:val="00DF6161"/>
    <w:rsid w:val="00DF64DC"/>
    <w:rsid w:val="00E01896"/>
    <w:rsid w:val="00E042FA"/>
    <w:rsid w:val="00E06A11"/>
    <w:rsid w:val="00E12E60"/>
    <w:rsid w:val="00E162BD"/>
    <w:rsid w:val="00E1778C"/>
    <w:rsid w:val="00E20F1C"/>
    <w:rsid w:val="00E211FC"/>
    <w:rsid w:val="00E21D7E"/>
    <w:rsid w:val="00E22F3E"/>
    <w:rsid w:val="00E30D06"/>
    <w:rsid w:val="00E34819"/>
    <w:rsid w:val="00E45B34"/>
    <w:rsid w:val="00E51130"/>
    <w:rsid w:val="00E60FA4"/>
    <w:rsid w:val="00E615A1"/>
    <w:rsid w:val="00E65045"/>
    <w:rsid w:val="00E66106"/>
    <w:rsid w:val="00E66FF2"/>
    <w:rsid w:val="00E67A66"/>
    <w:rsid w:val="00E77B2B"/>
    <w:rsid w:val="00E843EA"/>
    <w:rsid w:val="00E867A6"/>
    <w:rsid w:val="00E92838"/>
    <w:rsid w:val="00EA017F"/>
    <w:rsid w:val="00EA3817"/>
    <w:rsid w:val="00EA52BB"/>
    <w:rsid w:val="00EA762A"/>
    <w:rsid w:val="00EB1230"/>
    <w:rsid w:val="00EB577E"/>
    <w:rsid w:val="00EC125C"/>
    <w:rsid w:val="00ED3433"/>
    <w:rsid w:val="00ED6E00"/>
    <w:rsid w:val="00EE1CE0"/>
    <w:rsid w:val="00EE334E"/>
    <w:rsid w:val="00EF15CA"/>
    <w:rsid w:val="00EF18E3"/>
    <w:rsid w:val="00EF24F0"/>
    <w:rsid w:val="00EF34B8"/>
    <w:rsid w:val="00EF52A3"/>
    <w:rsid w:val="00F1139D"/>
    <w:rsid w:val="00F145B9"/>
    <w:rsid w:val="00F154C8"/>
    <w:rsid w:val="00F2270A"/>
    <w:rsid w:val="00F25CDE"/>
    <w:rsid w:val="00F315C4"/>
    <w:rsid w:val="00F347C9"/>
    <w:rsid w:val="00F36718"/>
    <w:rsid w:val="00F37BE2"/>
    <w:rsid w:val="00F4418D"/>
    <w:rsid w:val="00F51BF8"/>
    <w:rsid w:val="00F53D18"/>
    <w:rsid w:val="00F544B9"/>
    <w:rsid w:val="00F5787A"/>
    <w:rsid w:val="00F600EE"/>
    <w:rsid w:val="00F60165"/>
    <w:rsid w:val="00F64A5D"/>
    <w:rsid w:val="00F7110D"/>
    <w:rsid w:val="00F75BE5"/>
    <w:rsid w:val="00F7620B"/>
    <w:rsid w:val="00F816C2"/>
    <w:rsid w:val="00F92339"/>
    <w:rsid w:val="00F95F86"/>
    <w:rsid w:val="00FA04F4"/>
    <w:rsid w:val="00FA2414"/>
    <w:rsid w:val="00FA431B"/>
    <w:rsid w:val="00FB32EC"/>
    <w:rsid w:val="00FB49D8"/>
    <w:rsid w:val="00FC4F69"/>
    <w:rsid w:val="00FC549C"/>
    <w:rsid w:val="00FC704B"/>
    <w:rsid w:val="00FD09CE"/>
    <w:rsid w:val="00FD355D"/>
    <w:rsid w:val="00FD6832"/>
    <w:rsid w:val="00FE123F"/>
    <w:rsid w:val="00FE1490"/>
    <w:rsid w:val="00FE2765"/>
    <w:rsid w:val="00FE3AE3"/>
    <w:rsid w:val="00FF4410"/>
    <w:rsid w:val="00FF59D6"/>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DF"/>
  </w:style>
  <w:style w:type="paragraph" w:styleId="Heading1">
    <w:name w:val="heading 1"/>
    <w:basedOn w:val="Normal"/>
    <w:next w:val="Normal"/>
    <w:link w:val="Heading1Char"/>
    <w:uiPriority w:val="9"/>
    <w:qFormat/>
    <w:rsid w:val="00501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A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AE"/>
    <w:rPr>
      <w:rFonts w:ascii="Tahoma" w:hAnsi="Tahoma" w:cs="Tahoma"/>
      <w:sz w:val="16"/>
      <w:szCs w:val="16"/>
    </w:rPr>
  </w:style>
  <w:style w:type="paragraph" w:styleId="ListParagraph">
    <w:name w:val="List Paragraph"/>
    <w:basedOn w:val="Normal"/>
    <w:uiPriority w:val="34"/>
    <w:qFormat/>
    <w:rsid w:val="00060378"/>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A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25ED"/>
    <w:rPr>
      <w:rFonts w:ascii="Courier New" w:eastAsia="Times New Roman" w:hAnsi="Courier New" w:cs="Courier New"/>
      <w:sz w:val="20"/>
      <w:szCs w:val="20"/>
    </w:rPr>
  </w:style>
  <w:style w:type="paragraph" w:styleId="Header">
    <w:name w:val="header"/>
    <w:basedOn w:val="Normal"/>
    <w:link w:val="HeaderChar"/>
    <w:uiPriority w:val="99"/>
    <w:unhideWhenUsed/>
    <w:rsid w:val="00E66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106"/>
  </w:style>
  <w:style w:type="paragraph" w:styleId="Footer">
    <w:name w:val="footer"/>
    <w:basedOn w:val="Normal"/>
    <w:link w:val="FooterChar"/>
    <w:uiPriority w:val="99"/>
    <w:unhideWhenUsed/>
    <w:rsid w:val="00E6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106"/>
  </w:style>
  <w:style w:type="paragraph" w:styleId="NormalWeb">
    <w:name w:val="Normal (Web)"/>
    <w:basedOn w:val="Normal"/>
    <w:uiPriority w:val="99"/>
    <w:semiHidden/>
    <w:unhideWhenUsed/>
    <w:rsid w:val="00590CFF"/>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183160"/>
    <w:pPr>
      <w:spacing w:after="0" w:line="240" w:lineRule="auto"/>
    </w:pPr>
  </w:style>
  <w:style w:type="character" w:styleId="Hyperlink">
    <w:name w:val="Hyperlink"/>
    <w:basedOn w:val="DefaultParagraphFont"/>
    <w:uiPriority w:val="99"/>
    <w:unhideWhenUsed/>
    <w:rsid w:val="00183160"/>
    <w:rPr>
      <w:color w:val="0000FF" w:themeColor="hyperlink"/>
      <w:u w:val="single"/>
    </w:rPr>
  </w:style>
  <w:style w:type="paragraph" w:styleId="Title">
    <w:name w:val="Title"/>
    <w:basedOn w:val="Normal"/>
    <w:next w:val="Normal"/>
    <w:link w:val="TitleChar"/>
    <w:uiPriority w:val="10"/>
    <w:qFormat/>
    <w:rsid w:val="00183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1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1A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1AE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1AE6"/>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501A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1AE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DF"/>
  </w:style>
  <w:style w:type="paragraph" w:styleId="Heading1">
    <w:name w:val="heading 1"/>
    <w:basedOn w:val="Normal"/>
    <w:next w:val="Normal"/>
    <w:link w:val="Heading1Char"/>
    <w:uiPriority w:val="9"/>
    <w:qFormat/>
    <w:rsid w:val="00501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A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AE"/>
    <w:rPr>
      <w:rFonts w:ascii="Tahoma" w:hAnsi="Tahoma" w:cs="Tahoma"/>
      <w:sz w:val="16"/>
      <w:szCs w:val="16"/>
    </w:rPr>
  </w:style>
  <w:style w:type="paragraph" w:styleId="ListParagraph">
    <w:name w:val="List Paragraph"/>
    <w:basedOn w:val="Normal"/>
    <w:uiPriority w:val="34"/>
    <w:qFormat/>
    <w:rsid w:val="00060378"/>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A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25ED"/>
    <w:rPr>
      <w:rFonts w:ascii="Courier New" w:eastAsia="Times New Roman" w:hAnsi="Courier New" w:cs="Courier New"/>
      <w:sz w:val="20"/>
      <w:szCs w:val="20"/>
    </w:rPr>
  </w:style>
  <w:style w:type="paragraph" w:styleId="Header">
    <w:name w:val="header"/>
    <w:basedOn w:val="Normal"/>
    <w:link w:val="HeaderChar"/>
    <w:uiPriority w:val="99"/>
    <w:unhideWhenUsed/>
    <w:rsid w:val="00E66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106"/>
  </w:style>
  <w:style w:type="paragraph" w:styleId="Footer">
    <w:name w:val="footer"/>
    <w:basedOn w:val="Normal"/>
    <w:link w:val="FooterChar"/>
    <w:uiPriority w:val="99"/>
    <w:unhideWhenUsed/>
    <w:rsid w:val="00E6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106"/>
  </w:style>
  <w:style w:type="paragraph" w:styleId="NormalWeb">
    <w:name w:val="Normal (Web)"/>
    <w:basedOn w:val="Normal"/>
    <w:uiPriority w:val="99"/>
    <w:semiHidden/>
    <w:unhideWhenUsed/>
    <w:rsid w:val="00590CFF"/>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183160"/>
    <w:pPr>
      <w:spacing w:after="0" w:line="240" w:lineRule="auto"/>
    </w:pPr>
  </w:style>
  <w:style w:type="character" w:styleId="Hyperlink">
    <w:name w:val="Hyperlink"/>
    <w:basedOn w:val="DefaultParagraphFont"/>
    <w:uiPriority w:val="99"/>
    <w:unhideWhenUsed/>
    <w:rsid w:val="00183160"/>
    <w:rPr>
      <w:color w:val="0000FF" w:themeColor="hyperlink"/>
      <w:u w:val="single"/>
    </w:rPr>
  </w:style>
  <w:style w:type="paragraph" w:styleId="Title">
    <w:name w:val="Title"/>
    <w:basedOn w:val="Normal"/>
    <w:next w:val="Normal"/>
    <w:link w:val="TitleChar"/>
    <w:uiPriority w:val="10"/>
    <w:qFormat/>
    <w:rsid w:val="00183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1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1A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1AE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1AE6"/>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501A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1AE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5231">
      <w:bodyDiv w:val="1"/>
      <w:marLeft w:val="0"/>
      <w:marRight w:val="0"/>
      <w:marTop w:val="0"/>
      <w:marBottom w:val="0"/>
      <w:divBdr>
        <w:top w:val="none" w:sz="0" w:space="0" w:color="auto"/>
        <w:left w:val="none" w:sz="0" w:space="0" w:color="auto"/>
        <w:bottom w:val="none" w:sz="0" w:space="0" w:color="auto"/>
        <w:right w:val="none" w:sz="0" w:space="0" w:color="auto"/>
      </w:divBdr>
    </w:div>
    <w:div w:id="815029963">
      <w:bodyDiv w:val="1"/>
      <w:marLeft w:val="0"/>
      <w:marRight w:val="0"/>
      <w:marTop w:val="0"/>
      <w:marBottom w:val="0"/>
      <w:divBdr>
        <w:top w:val="none" w:sz="0" w:space="0" w:color="auto"/>
        <w:left w:val="none" w:sz="0" w:space="0" w:color="auto"/>
        <w:bottom w:val="none" w:sz="0" w:space="0" w:color="auto"/>
        <w:right w:val="none" w:sz="0" w:space="0" w:color="auto"/>
      </w:divBdr>
    </w:div>
    <w:div w:id="13109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rt@trumansburg-ny.gov" TargetMode="External"/><Relationship Id="rId18" Type="http://schemas.openxmlformats.org/officeDocument/2006/relationships/hyperlink" Target="mailto:john_fracchia@townofcaroline.org" TargetMode="External"/><Relationship Id="rId26" Type="http://schemas.openxmlformats.org/officeDocument/2006/relationships/hyperlink" Target="mailto:weathes@tc3.edu" TargetMode="External"/><Relationship Id="rId3" Type="http://schemas.openxmlformats.org/officeDocument/2006/relationships/styles" Target="styles.xml"/><Relationship Id="rId21" Type="http://schemas.openxmlformats.org/officeDocument/2006/relationships/hyperlink" Target="mailto:gem5@cornell.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drake@town.ithaca.ny.us" TargetMode="External"/><Relationship Id="rId17" Type="http://schemas.openxmlformats.org/officeDocument/2006/relationships/hyperlink" Target="mailto:mcook@cortland.org" TargetMode="External"/><Relationship Id="rId25" Type="http://schemas.openxmlformats.org/officeDocument/2006/relationships/hyperlink" Target="mailto:highway@townofdanby.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guerreri@tompkins-co.org" TargetMode="External"/><Relationship Id="rId20" Type="http://schemas.openxmlformats.org/officeDocument/2006/relationships/hyperlink" Target="mailto:herbmasser@gmail.com" TargetMode="External"/><Relationship Id="rId29" Type="http://schemas.openxmlformats.org/officeDocument/2006/relationships/hyperlink" Target="mailto:edconsortium@tompkins-c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mailto:psalton@cayuga-heights.ny.u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rankingroton@gmail.com" TargetMode="External"/><Relationship Id="rId23" Type="http://schemas.openxmlformats.org/officeDocument/2006/relationships/hyperlink" Target="mailto:kcmiller154@twcny.rr.com" TargetMode="External"/><Relationship Id="rId28" Type="http://schemas.openxmlformats.org/officeDocument/2006/relationships/hyperlink" Target="http://www.tompkinscountyny.gov/hconsortium" TargetMode="External"/><Relationship Id="rId10" Type="http://schemas.openxmlformats.org/officeDocument/2006/relationships/chart" Target="charts/chart2.xml"/><Relationship Id="rId19" Type="http://schemas.openxmlformats.org/officeDocument/2006/relationships/hyperlink" Target="mailto:dcipolla-dennis@dryden.ny.u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stevet@cityofithaca.org" TargetMode="External"/><Relationship Id="rId22" Type="http://schemas.openxmlformats.org/officeDocument/2006/relationships/hyperlink" Target="mailto:drydentrusteemurphy@gmal.com" TargetMode="External"/><Relationship Id="rId27" Type="http://schemas.openxmlformats.org/officeDocument/2006/relationships/hyperlink" Target="mailto:doug.perine@dfa.state.ny.us" TargetMode="External"/><Relationship Id="rId30" Type="http://schemas.openxmlformats.org/officeDocument/2006/relationships/hyperlink" Target="mailto:consortium@tompkins-co.org"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c01\Public\Greater%20Tompkins%20Co%20HI%20Consortium\Financial%20Information\2016%20Fiscal%20Year\2016%20Fiscal%20Year%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01\Public\Greater%20Tompkins%20Co%20HI%20Consortium\Financial%20Information\2016%20Fiscal%20Year\2016%20Fiscal%20Year%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01\Public\Greater%20Tompkins%20Co%20HI%20Consortium\Financial%20Information\2016%20Fiscal%20Year\2016%20Fiscal%20Year%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Greater Tompkins County Municipal Health Ins.e Consortium</a:t>
            </a:r>
          </a:p>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Income Sources (2011 - 2015)</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solidFill>
          <a:schemeClr val="bg1">
            <a:lumMod val="85000"/>
          </a:schemeClr>
        </a:solidFill>
        <a:ln>
          <a:solidFill>
            <a:schemeClr val="bg1">
              <a:lumMod val="50000"/>
            </a:schemeClr>
          </a:solidFill>
        </a:ln>
        <a:effectLst/>
        <a:sp3d>
          <a:contourClr>
            <a:schemeClr val="bg1">
              <a:lumMod val="50000"/>
            </a:schemeClr>
          </a:contourClr>
        </a:sp3d>
      </c:spPr>
    </c:sideWall>
    <c:backWall>
      <c:thickness val="0"/>
      <c:spPr>
        <a:solidFill>
          <a:schemeClr val="bg1">
            <a:lumMod val="85000"/>
          </a:schemeClr>
        </a:solid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20905541636840849"/>
          <c:y val="9.975181411147134E-2"/>
          <c:w val="0.7486466038336117"/>
          <c:h val="0.81722260820338632"/>
        </c:manualLayout>
      </c:layout>
      <c:bar3DChart>
        <c:barDir val="bar"/>
        <c:grouping val="clustered"/>
        <c:varyColors val="0"/>
        <c:ser>
          <c:idx val="0"/>
          <c:order val="0"/>
          <c:tx>
            <c:v>2011</c:v>
          </c:tx>
          <c:spPr>
            <a:solidFill>
              <a:schemeClr val="accent1"/>
            </a:solidFill>
            <a:ln>
              <a:noFill/>
            </a:ln>
            <a:effectLst/>
            <a:sp3d/>
          </c:spPr>
          <c:invertIfNegative val="0"/>
          <c:dLbls>
            <c:dLbl>
              <c:idx val="0"/>
              <c:layout>
                <c:manualLayout>
                  <c:x val="3.9141414141414047E-2"/>
                  <c:y val="8.169934640522756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2C7-4BB0-AD9B-9437DB4FFD2A}"/>
                </c:ext>
              </c:extLst>
            </c:dLbl>
            <c:dLbl>
              <c:idx val="1"/>
              <c:layout>
                <c:manualLayout>
                  <c:x val="3.0303030303030304E-2"/>
                  <c:y val="-4.90196078431372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2C7-4BB0-AD9B-9437DB4FFD2A}"/>
                </c:ext>
              </c:extLst>
            </c:dLbl>
            <c:dLbl>
              <c:idx val="2"/>
              <c:layout>
                <c:manualLayout>
                  <c:x val="2.272727272727267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2C7-4BB0-AD9B-9437DB4FFD2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Comparison'!$B$6:$B$8</c:f>
              <c:strCache>
                <c:ptCount val="3"/>
                <c:pt idx="0">
                  <c:v>Medical and Rx Plan Premiums</c:v>
                </c:pt>
                <c:pt idx="1">
                  <c:v>Other Revenues</c:v>
                </c:pt>
                <c:pt idx="2">
                  <c:v>Interest Earnings</c:v>
                </c:pt>
              </c:strCache>
            </c:strRef>
          </c:cat>
          <c:val>
            <c:numRef>
              <c:f>'Annual Cost Comparison'!$C$6:$C$8</c:f>
              <c:numCache>
                <c:formatCode>"$"#,##0</c:formatCode>
                <c:ptCount val="3"/>
                <c:pt idx="0">
                  <c:v>25794917</c:v>
                </c:pt>
                <c:pt idx="1">
                  <c:v>167294</c:v>
                </c:pt>
                <c:pt idx="2">
                  <c:v>6004</c:v>
                </c:pt>
              </c:numCache>
            </c:numRef>
          </c:val>
          <c:extLst xmlns:c16r2="http://schemas.microsoft.com/office/drawing/2015/06/chart">
            <c:ext xmlns:c16="http://schemas.microsoft.com/office/drawing/2014/chart" uri="{C3380CC4-5D6E-409C-BE32-E72D297353CC}">
              <c16:uniqueId val="{00000003-42C7-4BB0-AD9B-9437DB4FFD2A}"/>
            </c:ext>
          </c:extLst>
        </c:ser>
        <c:ser>
          <c:idx val="1"/>
          <c:order val="1"/>
          <c:tx>
            <c:v>2012</c:v>
          </c:tx>
          <c:spPr>
            <a:solidFill>
              <a:schemeClr val="accent2"/>
            </a:solidFill>
            <a:ln>
              <a:noFill/>
            </a:ln>
            <a:effectLst/>
            <a:sp3d/>
          </c:spPr>
          <c:invertIfNegative val="0"/>
          <c:dLbls>
            <c:dLbl>
              <c:idx val="0"/>
              <c:layout>
                <c:manualLayout>
                  <c:x val="3.4090909090909088E-2"/>
                  <c:y val="1.633986928104455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2C7-4BB0-AD9B-9437DB4FFD2A}"/>
                </c:ext>
              </c:extLst>
            </c:dLbl>
            <c:dLbl>
              <c:idx val="1"/>
              <c:layout>
                <c:manualLayout>
                  <c:x val="2.904040404040404E-2"/>
                  <c:y val="-4.901960784313785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2C7-4BB0-AD9B-9437DB4FFD2A}"/>
                </c:ext>
              </c:extLst>
            </c:dLbl>
            <c:dLbl>
              <c:idx val="2"/>
              <c:layout>
                <c:manualLayout>
                  <c:x val="2.525252525252520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2C7-4BB0-AD9B-9437DB4FFD2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Comparison'!$B$6:$B$8</c:f>
              <c:strCache>
                <c:ptCount val="3"/>
                <c:pt idx="0">
                  <c:v>Medical and Rx Plan Premiums</c:v>
                </c:pt>
                <c:pt idx="1">
                  <c:v>Other Revenues</c:v>
                </c:pt>
                <c:pt idx="2">
                  <c:v>Interest Earnings</c:v>
                </c:pt>
              </c:strCache>
            </c:strRef>
          </c:cat>
          <c:val>
            <c:numRef>
              <c:f>'Annual Cost Comparison'!$D$6:$D$8</c:f>
              <c:numCache>
                <c:formatCode>"$"#,##0</c:formatCode>
                <c:ptCount val="3"/>
                <c:pt idx="0">
                  <c:v>28575531</c:v>
                </c:pt>
                <c:pt idx="1">
                  <c:v>105902</c:v>
                </c:pt>
                <c:pt idx="2">
                  <c:v>7332</c:v>
                </c:pt>
              </c:numCache>
            </c:numRef>
          </c:val>
          <c:extLst xmlns:c16r2="http://schemas.microsoft.com/office/drawing/2015/06/chart">
            <c:ext xmlns:c16="http://schemas.microsoft.com/office/drawing/2014/chart" uri="{C3380CC4-5D6E-409C-BE32-E72D297353CC}">
              <c16:uniqueId val="{00000007-42C7-4BB0-AD9B-9437DB4FFD2A}"/>
            </c:ext>
          </c:extLst>
        </c:ser>
        <c:ser>
          <c:idx val="2"/>
          <c:order val="2"/>
          <c:tx>
            <c:v>2013</c:v>
          </c:tx>
          <c:spPr>
            <a:solidFill>
              <a:schemeClr val="accent3"/>
            </a:solidFill>
            <a:ln>
              <a:noFill/>
            </a:ln>
            <a:effectLst/>
            <a:sp3d/>
          </c:spPr>
          <c:invertIfNegative val="0"/>
          <c:dLbls>
            <c:dLbl>
              <c:idx val="0"/>
              <c:layout>
                <c:manualLayout>
                  <c:x val="3.0303030303030117E-2"/>
                  <c:y val="-6.535947712418300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2C7-4BB0-AD9B-9437DB4FFD2A}"/>
                </c:ext>
              </c:extLst>
            </c:dLbl>
            <c:dLbl>
              <c:idx val="1"/>
              <c:layout>
                <c:manualLayout>
                  <c:x val="2.5252525252525252E-2"/>
                  <c:y val="-1.63398692810457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2C7-4BB0-AD9B-9437DB4FFD2A}"/>
                </c:ext>
              </c:extLst>
            </c:dLbl>
            <c:dLbl>
              <c:idx val="2"/>
              <c:layout>
                <c:manualLayout>
                  <c:x val="3.2828282828282832E-2"/>
                  <c:y val="-1.63398692810460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2C7-4BB0-AD9B-9437DB4FFD2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Comparison'!$B$6:$B$8</c:f>
              <c:strCache>
                <c:ptCount val="3"/>
                <c:pt idx="0">
                  <c:v>Medical and Rx Plan Premiums</c:v>
                </c:pt>
                <c:pt idx="1">
                  <c:v>Other Revenues</c:v>
                </c:pt>
                <c:pt idx="2">
                  <c:v>Interest Earnings</c:v>
                </c:pt>
              </c:strCache>
            </c:strRef>
          </c:cat>
          <c:val>
            <c:numRef>
              <c:f>'Annual Cost Comparison'!$E$6:$E$8</c:f>
              <c:numCache>
                <c:formatCode>"$"#,##0</c:formatCode>
                <c:ptCount val="3"/>
                <c:pt idx="0">
                  <c:v>34507670</c:v>
                </c:pt>
                <c:pt idx="1">
                  <c:v>146563</c:v>
                </c:pt>
                <c:pt idx="2">
                  <c:v>9871</c:v>
                </c:pt>
              </c:numCache>
            </c:numRef>
          </c:val>
          <c:extLst xmlns:c16r2="http://schemas.microsoft.com/office/drawing/2015/06/chart">
            <c:ext xmlns:c16="http://schemas.microsoft.com/office/drawing/2014/chart" uri="{C3380CC4-5D6E-409C-BE32-E72D297353CC}">
              <c16:uniqueId val="{0000000B-42C7-4BB0-AD9B-9437DB4FFD2A}"/>
            </c:ext>
          </c:extLst>
        </c:ser>
        <c:ser>
          <c:idx val="3"/>
          <c:order val="3"/>
          <c:tx>
            <c:v>2014</c:v>
          </c:tx>
          <c:spPr>
            <a:solidFill>
              <a:schemeClr val="accent4"/>
            </a:solidFill>
            <a:ln>
              <a:noFill/>
            </a:ln>
            <a:effectLst/>
            <a:sp3d/>
          </c:spPr>
          <c:invertIfNegative val="0"/>
          <c:dLbls>
            <c:dLbl>
              <c:idx val="0"/>
              <c:layout>
                <c:manualLayout>
                  <c:x val="2.2727272727272728E-2"/>
                  <c:y val="-1.63398692810457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2C7-4BB0-AD9B-9437DB4FFD2A}"/>
                </c:ext>
              </c:extLst>
            </c:dLbl>
            <c:dLbl>
              <c:idx val="1"/>
              <c:layout>
                <c:manualLayout>
                  <c:x val="2.904040404040404E-2"/>
                  <c:y val="-1.63398692810457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2C7-4BB0-AD9B-9437DB4FFD2A}"/>
                </c:ext>
              </c:extLst>
            </c:dLbl>
            <c:dLbl>
              <c:idx val="2"/>
              <c:layout>
                <c:manualLayout>
                  <c:x val="3.0303030303030255E-2"/>
                  <c:y val="-1.63398692810460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2C7-4BB0-AD9B-9437DB4FFD2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'Annual Cost Comparison'!$F$6:$F$8</c:f>
              <c:numCache>
                <c:formatCode>"$"#,##0</c:formatCode>
                <c:ptCount val="3"/>
                <c:pt idx="0">
                  <c:v>36063291</c:v>
                </c:pt>
                <c:pt idx="1">
                  <c:v>134659</c:v>
                </c:pt>
                <c:pt idx="2">
                  <c:v>12641</c:v>
                </c:pt>
              </c:numCache>
            </c:numRef>
          </c:val>
          <c:extLst xmlns:c16r2="http://schemas.microsoft.com/office/drawing/2015/06/chart">
            <c:ext xmlns:c16="http://schemas.microsoft.com/office/drawing/2014/chart" uri="{C3380CC4-5D6E-409C-BE32-E72D297353CC}">
              <c16:uniqueId val="{0000000F-42C7-4BB0-AD9B-9437DB4FFD2A}"/>
            </c:ext>
          </c:extLst>
        </c:ser>
        <c:ser>
          <c:idx val="4"/>
          <c:order val="4"/>
          <c:tx>
            <c:v>2015</c:v>
          </c:tx>
          <c:spPr>
            <a:solidFill>
              <a:schemeClr val="accent5"/>
            </a:solidFill>
            <a:ln>
              <a:noFill/>
            </a:ln>
            <a:effectLst/>
            <a:sp3d/>
          </c:spPr>
          <c:invertIfNegative val="0"/>
          <c:dLbls>
            <c:dLbl>
              <c:idx val="0"/>
              <c:layout>
                <c:manualLayout>
                  <c:x val="1.893939393939394E-2"/>
                  <c:y val="-1.960784313725502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2C7-4BB0-AD9B-9437DB4FFD2A}"/>
                </c:ext>
              </c:extLst>
            </c:dLbl>
            <c:dLbl>
              <c:idx val="1"/>
              <c:layout>
                <c:manualLayout>
                  <c:x val="2.2727272727272728E-2"/>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2C7-4BB0-AD9B-9437DB4FFD2A}"/>
                </c:ext>
              </c:extLst>
            </c:dLbl>
            <c:dLbl>
              <c:idx val="2"/>
              <c:layout>
                <c:manualLayout>
                  <c:x val="2.6515151515151516E-2"/>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2C7-4BB0-AD9B-9437DB4FFD2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'Annual Cost Comparison'!$G$6:$G$8</c:f>
              <c:numCache>
                <c:formatCode>"$"#,##0</c:formatCode>
                <c:ptCount val="3"/>
                <c:pt idx="0">
                  <c:v>37587353</c:v>
                </c:pt>
                <c:pt idx="1">
                  <c:v>128523</c:v>
                </c:pt>
                <c:pt idx="2">
                  <c:v>13526.09</c:v>
                </c:pt>
              </c:numCache>
            </c:numRef>
          </c:val>
          <c:extLst xmlns:c16r2="http://schemas.microsoft.com/office/drawing/2015/06/chart">
            <c:ext xmlns:c16="http://schemas.microsoft.com/office/drawing/2014/chart" uri="{C3380CC4-5D6E-409C-BE32-E72D297353CC}">
              <c16:uniqueId val="{00000013-42C7-4BB0-AD9B-9437DB4FFD2A}"/>
            </c:ext>
          </c:extLst>
        </c:ser>
        <c:dLbls>
          <c:showLegendKey val="0"/>
          <c:showVal val="0"/>
          <c:showCatName val="0"/>
          <c:showSerName val="0"/>
          <c:showPercent val="0"/>
          <c:showBubbleSize val="0"/>
        </c:dLbls>
        <c:gapWidth val="150"/>
        <c:shape val="box"/>
        <c:axId val="41851136"/>
        <c:axId val="41852928"/>
        <c:axId val="0"/>
      </c:bar3DChart>
      <c:catAx>
        <c:axId val="418511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852928"/>
        <c:crosses val="autoZero"/>
        <c:auto val="1"/>
        <c:lblAlgn val="ctr"/>
        <c:lblOffset val="100"/>
        <c:noMultiLvlLbl val="0"/>
      </c:catAx>
      <c:valAx>
        <c:axId val="41852928"/>
        <c:scaling>
          <c:orientation val="minMax"/>
        </c:scaling>
        <c:delete val="0"/>
        <c:axPos val="b"/>
        <c:majorGridlines>
          <c:spPr>
            <a:ln w="9525" cap="flat" cmpd="sng" algn="ctr">
              <a:solidFill>
                <a:schemeClr val="bg1">
                  <a:lumMod val="50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851136"/>
        <c:crosses val="autoZero"/>
        <c:crossBetween val="between"/>
        <c:majorUnit val="10000000"/>
      </c:valAx>
      <c:spPr>
        <a:noFill/>
        <a:ln>
          <a:noFill/>
        </a:ln>
        <a:effectLst/>
      </c:spPr>
    </c:plotArea>
    <c:legend>
      <c:legendPos val="b"/>
      <c:layout>
        <c:manualLayout>
          <c:xMode val="edge"/>
          <c:yMode val="edge"/>
          <c:x val="0.83876239769094285"/>
          <c:y val="0.14511998323821934"/>
          <c:w val="8.4676658408353145E-2"/>
          <c:h val="0.18561513300959676"/>
        </c:manualLayout>
      </c:layout>
      <c:overlay val="0"/>
      <c:spPr>
        <a:solidFill>
          <a:schemeClr val="bg1"/>
        </a:solid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accent3">
        <a:lumMod val="40000"/>
        <a:lumOff val="60000"/>
      </a:schemeClr>
    </a:solidFill>
    <a:ln w="9525" cap="flat" cmpd="sng" algn="ctr">
      <a:solidFill>
        <a:schemeClr val="bg1">
          <a:lumMod val="50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Greater Tompkins County Municipal Health Ins. Consortium</a:t>
            </a:r>
          </a:p>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Expense Distribution (2011 - 2015)</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solidFill>
          <a:schemeClr val="bg1">
            <a:lumMod val="85000"/>
          </a:schemeClr>
        </a:solidFill>
        <a:ln>
          <a:solidFill>
            <a:schemeClr val="bg1">
              <a:lumMod val="50000"/>
            </a:schemeClr>
          </a:solidFill>
        </a:ln>
        <a:effectLst/>
        <a:sp3d>
          <a:contourClr>
            <a:schemeClr val="bg1">
              <a:lumMod val="50000"/>
            </a:schemeClr>
          </a:contourClr>
        </a:sp3d>
      </c:spPr>
    </c:sideWall>
    <c:backWall>
      <c:thickness val="0"/>
      <c:spPr>
        <a:solidFill>
          <a:schemeClr val="bg1">
            <a:lumMod val="85000"/>
          </a:schemeClr>
        </a:solidFill>
        <a:ln>
          <a:solidFill>
            <a:schemeClr val="bg1">
              <a:lumMod val="50000"/>
            </a:schemeClr>
          </a:solidFill>
        </a:ln>
        <a:effectLst/>
        <a:sp3d>
          <a:contourClr>
            <a:schemeClr val="bg1">
              <a:lumMod val="50000"/>
            </a:schemeClr>
          </a:contourClr>
        </a:sp3d>
      </c:spPr>
    </c:backWall>
    <c:plotArea>
      <c:layout/>
      <c:bar3DChart>
        <c:barDir val="bar"/>
        <c:grouping val="clustered"/>
        <c:varyColors val="0"/>
        <c:ser>
          <c:idx val="0"/>
          <c:order val="0"/>
          <c:tx>
            <c:v>2011</c:v>
          </c:tx>
          <c:spPr>
            <a:solidFill>
              <a:schemeClr val="accent1"/>
            </a:solidFill>
            <a:ln>
              <a:noFill/>
            </a:ln>
            <a:effectLst/>
            <a:sp3d/>
          </c:spPr>
          <c:invertIfNegative val="0"/>
          <c:dLbls>
            <c:dLbl>
              <c:idx val="0"/>
              <c:layout>
                <c:manualLayout>
                  <c:x val="3.0303030303030304E-2"/>
                  <c:y val="-1.1982432384018818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14-4E1F-8E4F-C987034C6162}"/>
                </c:ext>
              </c:extLst>
            </c:dLbl>
            <c:dLbl>
              <c:idx val="1"/>
              <c:layout>
                <c:manualLayout>
                  <c:x val="1.7676767676767676E-2"/>
                  <c:y val="-1.1982432384018818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14-4E1F-8E4F-C987034C6162}"/>
                </c:ext>
              </c:extLst>
            </c:dLbl>
            <c:dLbl>
              <c:idx val="2"/>
              <c:layout>
                <c:manualLayout>
                  <c:x val="1.2626461465044165E-2"/>
                  <c:y val="1.63398692810457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14-4E1F-8E4F-C987034C6162}"/>
                </c:ext>
              </c:extLst>
            </c:dLbl>
            <c:dLbl>
              <c:idx val="3"/>
              <c:layout>
                <c:manualLayout>
                  <c:x val="1.5151713990296668E-2"/>
                  <c:y val="1.96078431372549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14-4E1F-8E4F-C987034C616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Comparison'!$B$11:$B$14</c:f>
              <c:strCache>
                <c:ptCount val="4"/>
                <c:pt idx="0">
                  <c:v>Claims Expenses</c:v>
                </c:pt>
                <c:pt idx="1">
                  <c:v>Administrative Fees</c:v>
                </c:pt>
                <c:pt idx="2">
                  <c:v>Other Expenses</c:v>
                </c:pt>
                <c:pt idx="3">
                  <c:v>Stop-Loss Ins Net of Recoveries</c:v>
                </c:pt>
              </c:strCache>
            </c:strRef>
          </c:cat>
          <c:val>
            <c:numRef>
              <c:f>'Annual Cost Comparison'!$C$11:$C$14</c:f>
              <c:numCache>
                <c:formatCode>"$"#,##0</c:formatCode>
                <c:ptCount val="4"/>
                <c:pt idx="0">
                  <c:v>25136185</c:v>
                </c:pt>
                <c:pt idx="1">
                  <c:v>841543</c:v>
                </c:pt>
                <c:pt idx="2">
                  <c:v>353292</c:v>
                </c:pt>
                <c:pt idx="3">
                  <c:v>-170613</c:v>
                </c:pt>
              </c:numCache>
            </c:numRef>
          </c:val>
          <c:extLst xmlns:c16r2="http://schemas.microsoft.com/office/drawing/2015/06/chart">
            <c:ext xmlns:c16="http://schemas.microsoft.com/office/drawing/2014/chart" uri="{C3380CC4-5D6E-409C-BE32-E72D297353CC}">
              <c16:uniqueId val="{00000004-8114-4E1F-8E4F-C987034C6162}"/>
            </c:ext>
          </c:extLst>
        </c:ser>
        <c:ser>
          <c:idx val="1"/>
          <c:order val="1"/>
          <c:tx>
            <c:v>2012</c:v>
          </c:tx>
          <c:spPr>
            <a:solidFill>
              <a:schemeClr val="accent2"/>
            </a:solidFill>
            <a:ln>
              <a:noFill/>
            </a:ln>
            <a:effectLst/>
            <a:sp3d/>
          </c:spPr>
          <c:invertIfNegative val="0"/>
          <c:dLbls>
            <c:dLbl>
              <c:idx val="0"/>
              <c:layout>
                <c:manualLayout>
                  <c:x val="4.545454545454554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114-4E1F-8E4F-C987034C6162}"/>
                </c:ext>
              </c:extLst>
            </c:dLbl>
            <c:dLbl>
              <c:idx val="1"/>
              <c:layout>
                <c:manualLayout>
                  <c:x val="2.398989898989898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114-4E1F-8E4F-C987034C6162}"/>
                </c:ext>
              </c:extLst>
            </c:dLbl>
            <c:dLbl>
              <c:idx val="2"/>
              <c:layout>
                <c:manualLayout>
                  <c:x val="1.0101109520400858E-2"/>
                  <c:y val="2.45098039215685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114-4E1F-8E4F-C987034C6162}"/>
                </c:ext>
              </c:extLst>
            </c:dLbl>
            <c:dLbl>
              <c:idx val="3"/>
              <c:layout>
                <c:manualLayout>
                  <c:x val="1.7676867096158434E-2"/>
                  <c:y val="1.96078431372549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114-4E1F-8E4F-C987034C616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Comparison'!$B$11:$B$14</c:f>
              <c:strCache>
                <c:ptCount val="4"/>
                <c:pt idx="0">
                  <c:v>Claims Expenses</c:v>
                </c:pt>
                <c:pt idx="1">
                  <c:v>Administrative Fees</c:v>
                </c:pt>
                <c:pt idx="2">
                  <c:v>Other Expenses</c:v>
                </c:pt>
                <c:pt idx="3">
                  <c:v>Stop-Loss Ins Net of Recoveries</c:v>
                </c:pt>
              </c:strCache>
            </c:strRef>
          </c:cat>
          <c:val>
            <c:numRef>
              <c:f>'Annual Cost Comparison'!$D$11:$D$14</c:f>
              <c:numCache>
                <c:formatCode>"$"#,##0</c:formatCode>
                <c:ptCount val="4"/>
                <c:pt idx="0">
                  <c:v>24799035</c:v>
                </c:pt>
                <c:pt idx="1">
                  <c:v>928502</c:v>
                </c:pt>
                <c:pt idx="2">
                  <c:v>373096</c:v>
                </c:pt>
                <c:pt idx="3">
                  <c:v>-590041</c:v>
                </c:pt>
              </c:numCache>
            </c:numRef>
          </c:val>
          <c:extLst xmlns:c16r2="http://schemas.microsoft.com/office/drawing/2015/06/chart">
            <c:ext xmlns:c16="http://schemas.microsoft.com/office/drawing/2014/chart" uri="{C3380CC4-5D6E-409C-BE32-E72D297353CC}">
              <c16:uniqueId val="{00000009-8114-4E1F-8E4F-C987034C6162}"/>
            </c:ext>
          </c:extLst>
        </c:ser>
        <c:ser>
          <c:idx val="2"/>
          <c:order val="2"/>
          <c:tx>
            <c:v>2013</c:v>
          </c:tx>
          <c:spPr>
            <a:solidFill>
              <a:schemeClr val="accent3"/>
            </a:solidFill>
            <a:ln>
              <a:noFill/>
            </a:ln>
            <a:effectLst/>
            <a:sp3d/>
          </c:spPr>
          <c:invertIfNegative val="0"/>
          <c:dLbls>
            <c:dLbl>
              <c:idx val="0"/>
              <c:layout>
                <c:manualLayout>
                  <c:x val="3.156565656565665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114-4E1F-8E4F-C987034C6162}"/>
                </c:ext>
              </c:extLst>
            </c:dLbl>
            <c:dLbl>
              <c:idx val="1"/>
              <c:layout>
                <c:manualLayout>
                  <c:x val="1.5151515151515105E-2"/>
                  <c:y val="-3.267973856209270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114-4E1F-8E4F-C987034C6162}"/>
                </c:ext>
              </c:extLst>
            </c:dLbl>
            <c:dLbl>
              <c:idx val="2"/>
              <c:layout>
                <c:manualLayout>
                  <c:x val="7.575757575757576E-3"/>
                  <c:y val="-1.47058823529411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114-4E1F-8E4F-C987034C6162}"/>
                </c:ext>
              </c:extLst>
            </c:dLbl>
            <c:dLbl>
              <c:idx val="3"/>
              <c:layout>
                <c:manualLayout>
                  <c:x val="2.2727272727272728E-2"/>
                  <c:y val="-1.63398692810457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114-4E1F-8E4F-C987034C616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Comparison'!$B$11:$B$14</c:f>
              <c:strCache>
                <c:ptCount val="4"/>
                <c:pt idx="0">
                  <c:v>Claims Expenses</c:v>
                </c:pt>
                <c:pt idx="1">
                  <c:v>Administrative Fees</c:v>
                </c:pt>
                <c:pt idx="2">
                  <c:v>Other Expenses</c:v>
                </c:pt>
                <c:pt idx="3">
                  <c:v>Stop-Loss Ins Net of Recoveries</c:v>
                </c:pt>
              </c:strCache>
            </c:strRef>
          </c:cat>
          <c:val>
            <c:numRef>
              <c:f>'Annual Cost Comparison'!$E$11:$E$14</c:f>
              <c:numCache>
                <c:formatCode>"$"#,##0</c:formatCode>
                <c:ptCount val="4"/>
                <c:pt idx="0">
                  <c:v>28013757</c:v>
                </c:pt>
                <c:pt idx="1">
                  <c:v>939946</c:v>
                </c:pt>
                <c:pt idx="2">
                  <c:v>610890</c:v>
                </c:pt>
                <c:pt idx="3">
                  <c:v>310713</c:v>
                </c:pt>
              </c:numCache>
            </c:numRef>
          </c:val>
          <c:extLst xmlns:c16r2="http://schemas.microsoft.com/office/drawing/2015/06/chart">
            <c:ext xmlns:c16="http://schemas.microsoft.com/office/drawing/2014/chart" uri="{C3380CC4-5D6E-409C-BE32-E72D297353CC}">
              <c16:uniqueId val="{0000000E-8114-4E1F-8E4F-C987034C6162}"/>
            </c:ext>
          </c:extLst>
        </c:ser>
        <c:ser>
          <c:idx val="3"/>
          <c:order val="3"/>
          <c:tx>
            <c:v>2014</c:v>
          </c:tx>
          <c:spPr>
            <a:solidFill>
              <a:schemeClr val="accent4"/>
            </a:solidFill>
            <a:ln>
              <a:noFill/>
            </a:ln>
            <a:effectLst/>
            <a:sp3d/>
          </c:spPr>
          <c:invertIfNegative val="0"/>
          <c:dLbls>
            <c:dLbl>
              <c:idx val="0"/>
              <c:layout>
                <c:manualLayout>
                  <c:x val="2.6515151515151516E-2"/>
                  <c:y val="-4.90196078431372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114-4E1F-8E4F-C987034C6162}"/>
                </c:ext>
              </c:extLst>
            </c:dLbl>
            <c:dLbl>
              <c:idx val="1"/>
              <c:layout>
                <c:manualLayout>
                  <c:x val="1.6414141414141367E-2"/>
                  <c:y val="-3.267973856209270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114-4E1F-8E4F-C987034C6162}"/>
                </c:ext>
              </c:extLst>
            </c:dLbl>
            <c:dLbl>
              <c:idx val="2"/>
              <c:layout>
                <c:manualLayout>
                  <c:x val="1.5151515151515152E-2"/>
                  <c:y val="-5.9912161920094089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114-4E1F-8E4F-C987034C6162}"/>
                </c:ext>
              </c:extLst>
            </c:dLbl>
            <c:dLbl>
              <c:idx val="3"/>
              <c:layout>
                <c:manualLayout>
                  <c:x val="1.767676767676767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114-4E1F-8E4F-C987034C616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Comparison'!$B$11:$B$14</c:f>
              <c:strCache>
                <c:ptCount val="4"/>
                <c:pt idx="0">
                  <c:v>Claims Expenses</c:v>
                </c:pt>
                <c:pt idx="1">
                  <c:v>Administrative Fees</c:v>
                </c:pt>
                <c:pt idx="2">
                  <c:v>Other Expenses</c:v>
                </c:pt>
                <c:pt idx="3">
                  <c:v>Stop-Loss Ins Net of Recoveries</c:v>
                </c:pt>
              </c:strCache>
            </c:strRef>
          </c:cat>
          <c:val>
            <c:numRef>
              <c:f>'Annual Cost Comparison'!$F$11:$F$14</c:f>
              <c:numCache>
                <c:formatCode>"$"#,##0</c:formatCode>
                <c:ptCount val="4"/>
                <c:pt idx="0">
                  <c:v>29755490</c:v>
                </c:pt>
                <c:pt idx="1">
                  <c:v>988796</c:v>
                </c:pt>
                <c:pt idx="2">
                  <c:v>562919</c:v>
                </c:pt>
                <c:pt idx="3">
                  <c:v>836935</c:v>
                </c:pt>
              </c:numCache>
            </c:numRef>
          </c:val>
          <c:extLst xmlns:c16r2="http://schemas.microsoft.com/office/drawing/2015/06/chart">
            <c:ext xmlns:c16="http://schemas.microsoft.com/office/drawing/2014/chart" uri="{C3380CC4-5D6E-409C-BE32-E72D297353CC}">
              <c16:uniqueId val="{00000013-8114-4E1F-8E4F-C987034C6162}"/>
            </c:ext>
          </c:extLst>
        </c:ser>
        <c:ser>
          <c:idx val="4"/>
          <c:order val="4"/>
          <c:tx>
            <c:v>2015</c:v>
          </c:tx>
          <c:spPr>
            <a:solidFill>
              <a:schemeClr val="accent5"/>
            </a:solidFill>
            <a:ln>
              <a:noFill/>
            </a:ln>
            <a:effectLst/>
            <a:sp3d/>
          </c:spPr>
          <c:invertIfNegative val="0"/>
          <c:dLbls>
            <c:dLbl>
              <c:idx val="0"/>
              <c:layout>
                <c:manualLayout>
                  <c:x val="1.0160880609652836E-2"/>
                  <c:y val="-4.90196078431372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8114-4E1F-8E4F-C987034C6162}"/>
                </c:ext>
              </c:extLst>
            </c:dLbl>
            <c:dLbl>
              <c:idx val="1"/>
              <c:layout>
                <c:manualLayout>
                  <c:x val="2.0321761219305672E-2"/>
                  <c:y val="-3.267973856209150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8114-4E1F-8E4F-C987034C6162}"/>
                </c:ext>
              </c:extLst>
            </c:dLbl>
            <c:dLbl>
              <c:idx val="2"/>
              <c:layout>
                <c:manualLayout>
                  <c:x val="1.467682754727632E-2"/>
                  <c:y val="-1.63398692810463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8114-4E1F-8E4F-C987034C6162}"/>
                </c:ext>
              </c:extLst>
            </c:dLbl>
            <c:dLbl>
              <c:idx val="3"/>
              <c:layout>
                <c:manualLayout>
                  <c:x val="1.241885407846453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8114-4E1F-8E4F-C987034C616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'Annual Cost Comparison'!$G$11:$G$14</c:f>
              <c:numCache>
                <c:formatCode>"$"#,##0</c:formatCode>
                <c:ptCount val="4"/>
                <c:pt idx="0">
                  <c:v>28750405</c:v>
                </c:pt>
                <c:pt idx="1">
                  <c:v>1003466</c:v>
                </c:pt>
                <c:pt idx="2">
                  <c:v>610589</c:v>
                </c:pt>
                <c:pt idx="3">
                  <c:v>706517</c:v>
                </c:pt>
              </c:numCache>
            </c:numRef>
          </c:val>
          <c:extLst xmlns:c16r2="http://schemas.microsoft.com/office/drawing/2015/06/chart">
            <c:ext xmlns:c16="http://schemas.microsoft.com/office/drawing/2014/chart" uri="{C3380CC4-5D6E-409C-BE32-E72D297353CC}">
              <c16:uniqueId val="{00000018-8114-4E1F-8E4F-C987034C6162}"/>
            </c:ext>
          </c:extLst>
        </c:ser>
        <c:dLbls>
          <c:showLegendKey val="0"/>
          <c:showVal val="0"/>
          <c:showCatName val="0"/>
          <c:showSerName val="0"/>
          <c:showPercent val="0"/>
          <c:showBubbleSize val="0"/>
        </c:dLbls>
        <c:gapWidth val="150"/>
        <c:shape val="box"/>
        <c:axId val="41954688"/>
        <c:axId val="41960576"/>
        <c:axId val="0"/>
      </c:bar3DChart>
      <c:catAx>
        <c:axId val="41954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960576"/>
        <c:crosses val="autoZero"/>
        <c:auto val="1"/>
        <c:lblAlgn val="ctr"/>
        <c:lblOffset val="100"/>
        <c:noMultiLvlLbl val="0"/>
      </c:catAx>
      <c:valAx>
        <c:axId val="41960576"/>
        <c:scaling>
          <c:orientation val="minMax"/>
        </c:scaling>
        <c:delete val="0"/>
        <c:axPos val="b"/>
        <c:majorGridlines>
          <c:spPr>
            <a:ln w="9525" cap="flat" cmpd="sng" algn="ctr">
              <a:solidFill>
                <a:schemeClr val="bg1">
                  <a:lumMod val="50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954688"/>
        <c:crosses val="autoZero"/>
        <c:crossBetween val="between"/>
      </c:valAx>
      <c:spPr>
        <a:noFill/>
        <a:ln>
          <a:noFill/>
        </a:ln>
        <a:effectLst/>
      </c:spPr>
    </c:plotArea>
    <c:legend>
      <c:legendPos val="b"/>
      <c:layout>
        <c:manualLayout>
          <c:xMode val="edge"/>
          <c:yMode val="edge"/>
          <c:x val="0.80137922012084939"/>
          <c:y val="0.22134622712287211"/>
          <c:w val="8.6753501606691666E-2"/>
          <c:h val="0.20756871126005552"/>
        </c:manualLayout>
      </c:layout>
      <c:overlay val="0"/>
      <c:spPr>
        <a:solidFill>
          <a:schemeClr val="bg1"/>
        </a:solid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tx2">
        <a:lumMod val="20000"/>
        <a:lumOff val="80000"/>
      </a:schemeClr>
    </a:solidFill>
    <a:ln w="9525" cap="flat" cmpd="sng" algn="ctr">
      <a:solidFill>
        <a:schemeClr val="bg1">
          <a:lumMod val="50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Greater Tompkins County Municipal Health Ins. Consortium</a:t>
            </a:r>
          </a:p>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Net Asset Distribution (2011 - 2015)</a:t>
            </a:r>
          </a:p>
        </c:rich>
      </c:tx>
      <c:layout>
        <c:manualLayout>
          <c:xMode val="edge"/>
          <c:yMode val="edge"/>
          <c:x val="0.12509856828644084"/>
          <c:y val="1.075124311248488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solidFill>
          <a:schemeClr val="bg1"/>
        </a:solidFill>
        <a:ln>
          <a:solidFill>
            <a:schemeClr val="bg1">
              <a:lumMod val="50000"/>
            </a:schemeClr>
          </a:solidFill>
        </a:ln>
        <a:effectLst/>
        <a:sp3d>
          <a:contourClr>
            <a:schemeClr val="bg1">
              <a:lumMod val="50000"/>
            </a:schemeClr>
          </a:contourClr>
        </a:sp3d>
      </c:spPr>
    </c:sideWall>
    <c:backWall>
      <c:thickness val="0"/>
      <c:spPr>
        <a:solidFill>
          <a:schemeClr val="bg1"/>
        </a:solid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20905541636840849"/>
          <c:y val="0.10782679738562091"/>
          <c:w val="0.7486466038336117"/>
          <c:h val="0.81722260820338632"/>
        </c:manualLayout>
      </c:layout>
      <c:bar3DChart>
        <c:barDir val="bar"/>
        <c:grouping val="clustered"/>
        <c:varyColors val="0"/>
        <c:ser>
          <c:idx val="0"/>
          <c:order val="0"/>
          <c:tx>
            <c:v>2011</c:v>
          </c:tx>
          <c:spPr>
            <a:solidFill>
              <a:schemeClr val="accent1"/>
            </a:solidFill>
            <a:ln>
              <a:noFill/>
            </a:ln>
            <a:effectLst/>
            <a:sp3d/>
          </c:spPr>
          <c:invertIfNegative val="0"/>
          <c:dLbls>
            <c:dLbl>
              <c:idx val="0"/>
              <c:layout>
                <c:manualLayout>
                  <c:x val="5.0505050505050414E-2"/>
                  <c:y val="-1.63398692810457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88-42A8-A016-03D46D9BE58D}"/>
                </c:ext>
              </c:extLst>
            </c:dLbl>
            <c:dLbl>
              <c:idx val="1"/>
              <c:layout>
                <c:manualLayout>
                  <c:x val="3.0303030303030304E-2"/>
                  <c:y val="-4.90196078431372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88-42A8-A016-03D46D9BE58D}"/>
                </c:ext>
              </c:extLst>
            </c:dLbl>
            <c:dLbl>
              <c:idx val="2"/>
              <c:layout>
                <c:manualLayout>
                  <c:x val="2.272727272727267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88-42A8-A016-03D46D9BE58D}"/>
                </c:ext>
              </c:extLst>
            </c:dLbl>
            <c:dLbl>
              <c:idx val="3"/>
              <c:layout>
                <c:manualLayout>
                  <c:x val="1.6414141414141416E-2"/>
                  <c:y val="9.80392156862733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88-42A8-A016-03D46D9BE58D}"/>
                </c:ext>
              </c:extLst>
            </c:dLbl>
            <c:dLbl>
              <c:idx val="4"/>
              <c:layout>
                <c:manualLayout>
                  <c:x val="1.3888888888888843E-2"/>
                  <c:y val="9.80392156862733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B88-42A8-A016-03D46D9BE58D}"/>
                </c:ext>
              </c:extLst>
            </c:dLbl>
            <c:dLbl>
              <c:idx val="7"/>
              <c:layout>
                <c:manualLayout>
                  <c:x val="-7.575757575757576E-2"/>
                  <c:y val="3.267973856209150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B88-42A8-A016-03D46D9BE58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Comparison'!$B$22:$B$29</c:f>
              <c:strCache>
                <c:ptCount val="8"/>
                <c:pt idx="0">
                  <c:v>IBNR Claims Reserve</c:v>
                </c:pt>
                <c:pt idx="1">
                  <c:v>Accounts Payable</c:v>
                </c:pt>
                <c:pt idx="2">
                  <c:v>Deferred Revenue</c:v>
                </c:pt>
                <c:pt idx="3">
                  <c:v>Capital Surplus Account</c:v>
                </c:pt>
                <c:pt idx="4">
                  <c:v>Catastrophic Claims Reserve</c:v>
                </c:pt>
                <c:pt idx="5">
                  <c:v>Rate Stabilization Reserve</c:v>
                </c:pt>
                <c:pt idx="6">
                  <c:v>Adjustment for IBNR Claims</c:v>
                </c:pt>
                <c:pt idx="7">
                  <c:v>Unencumbered Fund Balance</c:v>
                </c:pt>
              </c:strCache>
            </c:strRef>
          </c:cat>
          <c:val>
            <c:numRef>
              <c:f>'Annual Cost Comparison'!$C$22:$C$29</c:f>
              <c:numCache>
                <c:formatCode>"$"#,##0</c:formatCode>
                <c:ptCount val="8"/>
                <c:pt idx="0">
                  <c:v>3043382</c:v>
                </c:pt>
                <c:pt idx="1">
                  <c:v>407</c:v>
                </c:pt>
                <c:pt idx="2">
                  <c:v>26646</c:v>
                </c:pt>
                <c:pt idx="3">
                  <c:v>1289746</c:v>
                </c:pt>
                <c:pt idx="4">
                  <c:v>0</c:v>
                </c:pt>
                <c:pt idx="5">
                  <c:v>0</c:v>
                </c:pt>
                <c:pt idx="6">
                  <c:v>0</c:v>
                </c:pt>
                <c:pt idx="7">
                  <c:v>-40127</c:v>
                </c:pt>
              </c:numCache>
            </c:numRef>
          </c:val>
          <c:extLst xmlns:c16r2="http://schemas.microsoft.com/office/drawing/2015/06/chart">
            <c:ext xmlns:c16="http://schemas.microsoft.com/office/drawing/2014/chart" uri="{C3380CC4-5D6E-409C-BE32-E72D297353CC}">
              <c16:uniqueId val="{00000006-4B88-42A8-A016-03D46D9BE58D}"/>
            </c:ext>
          </c:extLst>
        </c:ser>
        <c:ser>
          <c:idx val="1"/>
          <c:order val="1"/>
          <c:tx>
            <c:v>2012</c:v>
          </c:tx>
          <c:spPr>
            <a:solidFill>
              <a:schemeClr val="accent2"/>
            </a:solidFill>
            <a:ln>
              <a:noFill/>
            </a:ln>
            <a:effectLst/>
            <a:sp3d/>
          </c:spPr>
          <c:invertIfNegative val="0"/>
          <c:dLbls>
            <c:dLbl>
              <c:idx val="0"/>
              <c:layout>
                <c:manualLayout>
                  <c:x val="5.0505050505050504E-2"/>
                  <c:y val="-6.535947712418300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B88-42A8-A016-03D46D9BE58D}"/>
                </c:ext>
              </c:extLst>
            </c:dLbl>
            <c:dLbl>
              <c:idx val="1"/>
              <c:layout>
                <c:manualLayout>
                  <c:x val="2.904040404040404E-2"/>
                  <c:y val="-4.901960784313785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B88-42A8-A016-03D46D9BE58D}"/>
                </c:ext>
              </c:extLst>
            </c:dLbl>
            <c:dLbl>
              <c:idx val="2"/>
              <c:layout>
                <c:manualLayout>
                  <c:x val="2.525252525252520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B88-42A8-A016-03D46D9BE58D}"/>
                </c:ext>
              </c:extLst>
            </c:dLbl>
            <c:dLbl>
              <c:idx val="3"/>
              <c:layout>
                <c:manualLayout>
                  <c:x val="1.1363636363636317E-2"/>
                  <c:y val="1.633986928104455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B88-42A8-A016-03D46D9BE58D}"/>
                </c:ext>
              </c:extLst>
            </c:dLbl>
            <c:dLbl>
              <c:idx val="4"/>
              <c:layout>
                <c:manualLayout>
                  <c:x val="1.7676767676767676E-2"/>
                  <c:y val="4.90196078431372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B88-42A8-A016-03D46D9BE58D}"/>
                </c:ext>
              </c:extLst>
            </c:dLbl>
            <c:dLbl>
              <c:idx val="7"/>
              <c:layout>
                <c:manualLayout>
                  <c:x val="1.5151515151515152E-2"/>
                  <c:y val="1.30718954248366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B88-42A8-A016-03D46D9BE58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Comparison'!$B$22:$B$29</c:f>
              <c:strCache>
                <c:ptCount val="8"/>
                <c:pt idx="0">
                  <c:v>IBNR Claims Reserve</c:v>
                </c:pt>
                <c:pt idx="1">
                  <c:v>Accounts Payable</c:v>
                </c:pt>
                <c:pt idx="2">
                  <c:v>Deferred Revenue</c:v>
                </c:pt>
                <c:pt idx="3">
                  <c:v>Capital Surplus Account</c:v>
                </c:pt>
                <c:pt idx="4">
                  <c:v>Catastrophic Claims Reserve</c:v>
                </c:pt>
                <c:pt idx="5">
                  <c:v>Rate Stabilization Reserve</c:v>
                </c:pt>
                <c:pt idx="6">
                  <c:v>Adjustment for IBNR Claims</c:v>
                </c:pt>
                <c:pt idx="7">
                  <c:v>Unencumbered Fund Balance</c:v>
                </c:pt>
              </c:strCache>
            </c:strRef>
          </c:cat>
          <c:val>
            <c:numRef>
              <c:f>'Annual Cost Comparison'!$D$22:$D$29</c:f>
              <c:numCache>
                <c:formatCode>"$"#,##0</c:formatCode>
                <c:ptCount val="8"/>
                <c:pt idx="0">
                  <c:v>3082421</c:v>
                </c:pt>
                <c:pt idx="1">
                  <c:v>0</c:v>
                </c:pt>
                <c:pt idx="2">
                  <c:v>0</c:v>
                </c:pt>
                <c:pt idx="3">
                  <c:v>1428777</c:v>
                </c:pt>
                <c:pt idx="4">
                  <c:v>0</c:v>
                </c:pt>
                <c:pt idx="5">
                  <c:v>0</c:v>
                </c:pt>
                <c:pt idx="6">
                  <c:v>0</c:v>
                </c:pt>
                <c:pt idx="7">
                  <c:v>3197415</c:v>
                </c:pt>
              </c:numCache>
            </c:numRef>
          </c:val>
          <c:extLst xmlns:c16r2="http://schemas.microsoft.com/office/drawing/2015/06/chart">
            <c:ext xmlns:c16="http://schemas.microsoft.com/office/drawing/2014/chart" uri="{C3380CC4-5D6E-409C-BE32-E72D297353CC}">
              <c16:uniqueId val="{0000000D-4B88-42A8-A016-03D46D9BE58D}"/>
            </c:ext>
          </c:extLst>
        </c:ser>
        <c:ser>
          <c:idx val="2"/>
          <c:order val="2"/>
          <c:tx>
            <c:v>2013</c:v>
          </c:tx>
          <c:spPr>
            <a:solidFill>
              <a:schemeClr val="accent3"/>
            </a:solidFill>
            <a:ln>
              <a:noFill/>
            </a:ln>
            <a:effectLst/>
            <a:sp3d/>
          </c:spPr>
          <c:invertIfNegative val="0"/>
          <c:dLbls>
            <c:dLbl>
              <c:idx val="0"/>
              <c:layout>
                <c:manualLayout>
                  <c:x val="3.6616161616161526E-2"/>
                  <c:y val="-1.47058823529412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B88-42A8-A016-03D46D9BE58D}"/>
                </c:ext>
              </c:extLst>
            </c:dLbl>
            <c:dLbl>
              <c:idx val="1"/>
              <c:layout>
                <c:manualLayout>
                  <c:x val="2.5252525252525252E-2"/>
                  <c:y val="-1.63398692810457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B88-42A8-A016-03D46D9BE58D}"/>
                </c:ext>
              </c:extLst>
            </c:dLbl>
            <c:dLbl>
              <c:idx val="2"/>
              <c:layout>
                <c:manualLayout>
                  <c:x val="3.2828282828282832E-2"/>
                  <c:y val="-1.63398692810460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B88-42A8-A016-03D46D9BE58D}"/>
                </c:ext>
              </c:extLst>
            </c:dLbl>
            <c:dLbl>
              <c:idx val="3"/>
              <c:layout>
                <c:manualLayout>
                  <c:x val="2.7777777777777686E-2"/>
                  <c:y val="-1.63398692810457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B88-42A8-A016-03D46D9BE58D}"/>
                </c:ext>
              </c:extLst>
            </c:dLbl>
            <c:dLbl>
              <c:idx val="4"/>
              <c:layout>
                <c:manualLayout>
                  <c:x val="1.6414141414141416E-2"/>
                  <c:y val="-1.63398692810457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B88-42A8-A016-03D46D9BE58D}"/>
                </c:ext>
              </c:extLst>
            </c:dLbl>
            <c:dLbl>
              <c:idx val="6"/>
              <c:layout>
                <c:manualLayout>
                  <c:x val="-0.12499970174182773"/>
                  <c:y val="3.2679738562091205E-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B88-42A8-A016-03D46D9BE58D}"/>
                </c:ext>
              </c:extLst>
            </c:dLbl>
            <c:dLbl>
              <c:idx val="7"/>
              <c:layout>
                <c:manualLayout>
                  <c:x val="8.8383838383838381E-3"/>
                  <c:y val="1.14379084967320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B88-42A8-A016-03D46D9BE58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Comparison'!$B$22:$B$29</c:f>
              <c:strCache>
                <c:ptCount val="8"/>
                <c:pt idx="0">
                  <c:v>IBNR Claims Reserve</c:v>
                </c:pt>
                <c:pt idx="1">
                  <c:v>Accounts Payable</c:v>
                </c:pt>
                <c:pt idx="2">
                  <c:v>Deferred Revenue</c:v>
                </c:pt>
                <c:pt idx="3">
                  <c:v>Capital Surplus Account</c:v>
                </c:pt>
                <c:pt idx="4">
                  <c:v>Catastrophic Claims Reserve</c:v>
                </c:pt>
                <c:pt idx="5">
                  <c:v>Rate Stabilization Reserve</c:v>
                </c:pt>
                <c:pt idx="6">
                  <c:v>Adjustment for IBNR Claims</c:v>
                </c:pt>
                <c:pt idx="7">
                  <c:v>Unencumbered Fund Balance</c:v>
                </c:pt>
              </c:strCache>
            </c:strRef>
          </c:cat>
          <c:val>
            <c:numRef>
              <c:f>'Annual Cost Comparison'!$E$22:$E$29</c:f>
              <c:numCache>
                <c:formatCode>"$"#,##0</c:formatCode>
                <c:ptCount val="8"/>
                <c:pt idx="0">
                  <c:v>3574393</c:v>
                </c:pt>
                <c:pt idx="1">
                  <c:v>315382</c:v>
                </c:pt>
                <c:pt idx="2">
                  <c:v>196396</c:v>
                </c:pt>
                <c:pt idx="3">
                  <c:v>1725384</c:v>
                </c:pt>
                <c:pt idx="4">
                  <c:v>600000</c:v>
                </c:pt>
                <c:pt idx="5">
                  <c:v>0</c:v>
                </c:pt>
                <c:pt idx="6">
                  <c:v>-824545</c:v>
                </c:pt>
                <c:pt idx="7">
                  <c:v>5548044</c:v>
                </c:pt>
              </c:numCache>
            </c:numRef>
          </c:val>
          <c:extLst xmlns:c16r2="http://schemas.microsoft.com/office/drawing/2015/06/chart">
            <c:ext xmlns:c16="http://schemas.microsoft.com/office/drawing/2014/chart" uri="{C3380CC4-5D6E-409C-BE32-E72D297353CC}">
              <c16:uniqueId val="{00000015-4B88-42A8-A016-03D46D9BE58D}"/>
            </c:ext>
          </c:extLst>
        </c:ser>
        <c:ser>
          <c:idx val="3"/>
          <c:order val="3"/>
          <c:tx>
            <c:v>2014</c:v>
          </c:tx>
          <c:spPr>
            <a:solidFill>
              <a:schemeClr val="accent4"/>
            </a:solidFill>
            <a:ln>
              <a:noFill/>
            </a:ln>
            <a:effectLst/>
            <a:sp3d/>
          </c:spPr>
          <c:invertIfNegative val="0"/>
          <c:dLbls>
            <c:dLbl>
              <c:idx val="0"/>
              <c:layout>
                <c:manualLayout>
                  <c:x val="1.893939393939394E-2"/>
                  <c:y val="-2.12418300653595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4B88-42A8-A016-03D46D9BE58D}"/>
                </c:ext>
              </c:extLst>
            </c:dLbl>
            <c:dLbl>
              <c:idx val="1"/>
              <c:layout>
                <c:manualLayout>
                  <c:x val="2.904040404040404E-2"/>
                  <c:y val="-1.63398692810457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4B88-42A8-A016-03D46D9BE58D}"/>
                </c:ext>
              </c:extLst>
            </c:dLbl>
            <c:dLbl>
              <c:idx val="2"/>
              <c:layout>
                <c:manualLayout>
                  <c:x val="3.0303030303030255E-2"/>
                  <c:y val="-1.63398692810460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4B88-42A8-A016-03D46D9BE58D}"/>
                </c:ext>
              </c:extLst>
            </c:dLbl>
            <c:dLbl>
              <c:idx val="3"/>
              <c:layout>
                <c:manualLayout>
                  <c:x val="2.6515151515151516E-2"/>
                  <c:y val="-8.169934640522935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4B88-42A8-A016-03D46D9BE58D}"/>
                </c:ext>
              </c:extLst>
            </c:dLbl>
            <c:dLbl>
              <c:idx val="4"/>
              <c:layout>
                <c:manualLayout>
                  <c:x val="2.1464646464646464E-2"/>
                  <c:y val="-9.803921568627450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4B88-42A8-A016-03D46D9BE58D}"/>
                </c:ext>
              </c:extLst>
            </c:dLbl>
            <c:dLbl>
              <c:idx val="6"/>
              <c:layout>
                <c:manualLayout>
                  <c:x val="-0.14646444762586494"/>
                  <c:y val="-1.6339869281045752E-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4B88-42A8-A016-03D46D9BE58D}"/>
                </c:ext>
              </c:extLst>
            </c:dLbl>
            <c:dLbl>
              <c:idx val="7"/>
              <c:layout>
                <c:manualLayout>
                  <c:x val="1.1363636363636364E-2"/>
                  <c:y val="9.803921568627450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4B88-42A8-A016-03D46D9BE58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Cost Comparison'!$B$22:$B$29</c:f>
              <c:strCache>
                <c:ptCount val="8"/>
                <c:pt idx="0">
                  <c:v>IBNR Claims Reserve</c:v>
                </c:pt>
                <c:pt idx="1">
                  <c:v>Accounts Payable</c:v>
                </c:pt>
                <c:pt idx="2">
                  <c:v>Deferred Revenue</c:v>
                </c:pt>
                <c:pt idx="3">
                  <c:v>Capital Surplus Account</c:v>
                </c:pt>
                <c:pt idx="4">
                  <c:v>Catastrophic Claims Reserve</c:v>
                </c:pt>
                <c:pt idx="5">
                  <c:v>Rate Stabilization Reserve</c:v>
                </c:pt>
                <c:pt idx="6">
                  <c:v>Adjustment for IBNR Claims</c:v>
                </c:pt>
                <c:pt idx="7">
                  <c:v>Unencumbered Fund Balance</c:v>
                </c:pt>
              </c:strCache>
            </c:strRef>
          </c:cat>
          <c:val>
            <c:numRef>
              <c:f>'Annual Cost Comparison'!$F$22:$F$29</c:f>
              <c:numCache>
                <c:formatCode>"$"#,##0</c:formatCode>
                <c:ptCount val="8"/>
                <c:pt idx="0">
                  <c:v>3800339</c:v>
                </c:pt>
                <c:pt idx="1">
                  <c:v>386786</c:v>
                </c:pt>
                <c:pt idx="2">
                  <c:v>355180</c:v>
                </c:pt>
                <c:pt idx="3">
                  <c:v>1803165</c:v>
                </c:pt>
                <c:pt idx="4">
                  <c:v>606898</c:v>
                </c:pt>
                <c:pt idx="5">
                  <c:v>0</c:v>
                </c:pt>
                <c:pt idx="6">
                  <c:v>-1039180</c:v>
                </c:pt>
                <c:pt idx="7">
                  <c:v>9529816</c:v>
                </c:pt>
              </c:numCache>
            </c:numRef>
          </c:val>
          <c:extLst xmlns:c16r2="http://schemas.microsoft.com/office/drawing/2015/06/chart">
            <c:ext xmlns:c16="http://schemas.microsoft.com/office/drawing/2014/chart" uri="{C3380CC4-5D6E-409C-BE32-E72D297353CC}">
              <c16:uniqueId val="{0000001D-4B88-42A8-A016-03D46D9BE58D}"/>
            </c:ext>
          </c:extLst>
        </c:ser>
        <c:ser>
          <c:idx val="4"/>
          <c:order val="4"/>
          <c:tx>
            <c:v>2015</c:v>
          </c:tx>
          <c:spPr>
            <a:solidFill>
              <a:schemeClr val="accent5"/>
            </a:solidFill>
            <a:ln>
              <a:noFill/>
            </a:ln>
            <a:effectLst/>
            <a:sp3d/>
          </c:spPr>
          <c:invertIfNegative val="0"/>
          <c:dLbls>
            <c:dLbl>
              <c:idx val="0"/>
              <c:layout>
                <c:manualLayout>
                  <c:x val="2.6515151515151516E-2"/>
                  <c:y val="-3.10457516339869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4B88-42A8-A016-03D46D9BE58D}"/>
                </c:ext>
              </c:extLst>
            </c:dLbl>
            <c:dLbl>
              <c:idx val="1"/>
              <c:layout>
                <c:manualLayout>
                  <c:x val="1.5151515151515152E-2"/>
                  <c:y val="-9.803921568627450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4B88-42A8-A016-03D46D9BE58D}"/>
                </c:ext>
              </c:extLst>
            </c:dLbl>
            <c:dLbl>
              <c:idx val="2"/>
              <c:layout>
                <c:manualLayout>
                  <c:x val="1.2626262626262626E-2"/>
                  <c:y val="-4.90196078431372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4B88-42A8-A016-03D46D9BE58D}"/>
                </c:ext>
              </c:extLst>
            </c:dLbl>
            <c:dLbl>
              <c:idx val="3"/>
              <c:layout>
                <c:manualLayout>
                  <c:x val="2.1464646464646464E-2"/>
                  <c:y val="-1.47058823529411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4B88-42A8-A016-03D46D9BE58D}"/>
                </c:ext>
              </c:extLst>
            </c:dLbl>
            <c:dLbl>
              <c:idx val="4"/>
              <c:layout>
                <c:manualLayout>
                  <c:x val="1.3888888888888843E-2"/>
                  <c:y val="-1.79738562091503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4B88-42A8-A016-03D46D9BE58D}"/>
                </c:ext>
              </c:extLst>
            </c:dLbl>
            <c:dLbl>
              <c:idx val="6"/>
              <c:layout>
                <c:manualLayout>
                  <c:x val="-0.14267676767676762"/>
                  <c:y val="-6.5359477124183009E-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4B88-42A8-A016-03D46D9BE58D}"/>
                </c:ext>
              </c:extLst>
            </c:dLbl>
            <c:dLbl>
              <c:idx val="7"/>
              <c:layout>
                <c:manualLayout>
                  <c:x val="0"/>
                  <c:y val="2.94117647058823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4B88-42A8-A016-03D46D9BE58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'Annual Cost Comparison'!$G$22:$G$29</c:f>
              <c:numCache>
                <c:formatCode>"$"#,##0</c:formatCode>
                <c:ptCount val="8"/>
                <c:pt idx="0">
                  <c:v>3631889</c:v>
                </c:pt>
                <c:pt idx="1">
                  <c:v>441191</c:v>
                </c:pt>
                <c:pt idx="2">
                  <c:v>252877</c:v>
                </c:pt>
                <c:pt idx="3">
                  <c:v>1879368</c:v>
                </c:pt>
                <c:pt idx="4">
                  <c:v>1050000</c:v>
                </c:pt>
                <c:pt idx="5">
                  <c:v>1513287</c:v>
                </c:pt>
                <c:pt idx="6">
                  <c:v>-1361219</c:v>
                </c:pt>
                <c:pt idx="7">
                  <c:v>14746529</c:v>
                </c:pt>
              </c:numCache>
            </c:numRef>
          </c:val>
          <c:extLst xmlns:c16r2="http://schemas.microsoft.com/office/drawing/2015/06/chart">
            <c:ext xmlns:c16="http://schemas.microsoft.com/office/drawing/2014/chart" uri="{C3380CC4-5D6E-409C-BE32-E72D297353CC}">
              <c16:uniqueId val="{00000025-4B88-42A8-A016-03D46D9BE58D}"/>
            </c:ext>
          </c:extLst>
        </c:ser>
        <c:dLbls>
          <c:showLegendKey val="0"/>
          <c:showVal val="0"/>
          <c:showCatName val="0"/>
          <c:showSerName val="0"/>
          <c:showPercent val="0"/>
          <c:showBubbleSize val="0"/>
        </c:dLbls>
        <c:gapWidth val="150"/>
        <c:shape val="box"/>
        <c:axId val="43457920"/>
        <c:axId val="43488384"/>
        <c:axId val="0"/>
      </c:bar3DChart>
      <c:catAx>
        <c:axId val="43457920"/>
        <c:scaling>
          <c:orientation val="minMax"/>
        </c:scaling>
        <c:delete val="0"/>
        <c:axPos val="l"/>
        <c:numFmt formatCode="General"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488384"/>
        <c:crosses val="autoZero"/>
        <c:auto val="0"/>
        <c:lblAlgn val="ctr"/>
        <c:lblOffset val="1000"/>
        <c:noMultiLvlLbl val="0"/>
      </c:catAx>
      <c:valAx>
        <c:axId val="43488384"/>
        <c:scaling>
          <c:orientation val="minMax"/>
          <c:max val="15000000"/>
        </c:scaling>
        <c:delete val="0"/>
        <c:axPos val="b"/>
        <c:majorGridlines>
          <c:spPr>
            <a:ln w="9525" cap="flat" cmpd="sng" algn="ctr">
              <a:solidFill>
                <a:schemeClr val="bg1">
                  <a:lumMod val="50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457920"/>
        <c:crosses val="autoZero"/>
        <c:crossBetween val="between"/>
        <c:majorUnit val="3000000"/>
      </c:valAx>
      <c:spPr>
        <a:noFill/>
        <a:ln>
          <a:noFill/>
        </a:ln>
        <a:effectLst/>
      </c:spPr>
    </c:plotArea>
    <c:legend>
      <c:legendPos val="b"/>
      <c:layout>
        <c:manualLayout>
          <c:xMode val="edge"/>
          <c:yMode val="edge"/>
          <c:x val="0.79930237692251083"/>
          <c:y val="0.70418462508743329"/>
          <c:w val="0.10959877678841545"/>
          <c:h val="0.19099075456583919"/>
        </c:manualLayout>
      </c:layout>
      <c:overlay val="0"/>
      <c:spPr>
        <a:solidFill>
          <a:schemeClr val="bg1">
            <a:lumMod val="85000"/>
          </a:schemeClr>
        </a:solidFill>
        <a:ln>
          <a:solidFill>
            <a:schemeClr val="tx1"/>
          </a:solid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lumMod val="85000"/>
      </a:schemeClr>
    </a:solidFill>
    <a:ln w="9525" cap="flat" cmpd="sng" algn="ctr">
      <a:solidFill>
        <a:schemeClr val="bg1">
          <a:lumMod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27DB-D416-4CDA-AF8E-3DA64A28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Barber</dc:creator>
  <cp:lastModifiedBy>Michelle Pottorff</cp:lastModifiedBy>
  <cp:revision>3</cp:revision>
  <cp:lastPrinted>2016-04-29T17:55:00Z</cp:lastPrinted>
  <dcterms:created xsi:type="dcterms:W3CDTF">2016-05-02T04:00:00Z</dcterms:created>
  <dcterms:modified xsi:type="dcterms:W3CDTF">2016-05-04T04:12:00Z</dcterms:modified>
</cp:coreProperties>
</file>